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042" w:rsidRDefault="00DA4042" w:rsidP="00DA4042">
      <w:pPr>
        <w:spacing w:after="0"/>
      </w:pPr>
      <w:bookmarkStart w:id="0" w:name="_GoBack"/>
      <w:bookmarkEnd w:id="0"/>
    </w:p>
    <w:p w:rsidR="00DA4042" w:rsidRPr="00DA4042" w:rsidRDefault="000A4FB2" w:rsidP="00DA4042">
      <w:pPr>
        <w:spacing w:after="0"/>
        <w:jc w:val="center"/>
        <w:rPr>
          <w:rFonts w:ascii="Times New Roman" w:hAnsi="Times New Roman" w:cs="Times New Roman"/>
          <w:b/>
          <w:sz w:val="24"/>
          <w:u w:val="single"/>
        </w:rPr>
      </w:pPr>
      <w:r>
        <w:rPr>
          <w:rFonts w:ascii="Times New Roman" w:hAnsi="Times New Roman" w:cs="Times New Roman"/>
          <w:b/>
          <w:sz w:val="24"/>
          <w:u w:val="single"/>
        </w:rPr>
        <w:t>TEST</w:t>
      </w:r>
      <w:r w:rsidR="00DA4042" w:rsidRPr="00DA4042">
        <w:rPr>
          <w:rFonts w:ascii="Times New Roman" w:hAnsi="Times New Roman" w:cs="Times New Roman"/>
          <w:b/>
          <w:sz w:val="24"/>
          <w:u w:val="single"/>
        </w:rPr>
        <w:t xml:space="preserve"> PERIOD ADJUSTMENTS</w:t>
      </w:r>
    </w:p>
    <w:p w:rsidR="00DA4042" w:rsidRDefault="00DA4042" w:rsidP="00DA4042">
      <w:pPr>
        <w:spacing w:after="0"/>
        <w:jc w:val="center"/>
        <w:rPr>
          <w:rFonts w:ascii="Times New Roman" w:hAnsi="Times New Roman" w:cs="Times New Roman"/>
          <w:sz w:val="24"/>
        </w:rPr>
      </w:pPr>
      <w:r w:rsidRPr="00DA4042">
        <w:rPr>
          <w:rFonts w:ascii="Times New Roman" w:hAnsi="Times New Roman" w:cs="Times New Roman"/>
          <w:sz w:val="24"/>
        </w:rPr>
        <w:t xml:space="preserve">(COLUMN </w:t>
      </w:r>
      <w:r w:rsidR="000A4FB2">
        <w:rPr>
          <w:rFonts w:ascii="Times New Roman" w:hAnsi="Times New Roman" w:cs="Times New Roman"/>
          <w:sz w:val="24"/>
        </w:rPr>
        <w:t>8</w:t>
      </w:r>
      <w:r w:rsidRPr="00DA4042">
        <w:rPr>
          <w:rFonts w:ascii="Times New Roman" w:hAnsi="Times New Roman" w:cs="Times New Roman"/>
          <w:sz w:val="24"/>
        </w:rPr>
        <w:t>)</w:t>
      </w:r>
    </w:p>
    <w:p w:rsidR="00DA4042" w:rsidRDefault="00DA4042" w:rsidP="00DA4042">
      <w:pPr>
        <w:spacing w:after="0"/>
        <w:jc w:val="center"/>
        <w:rPr>
          <w:rFonts w:ascii="Times New Roman" w:hAnsi="Times New Roman" w:cs="Times New Roman"/>
          <w:sz w:val="24"/>
        </w:rPr>
      </w:pPr>
    </w:p>
    <w:p w:rsidR="00DA4042" w:rsidRDefault="00DA4042" w:rsidP="00DA4042">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0A4FB2">
        <w:rPr>
          <w:rFonts w:ascii="Times New Roman" w:hAnsi="Times New Roman" w:cs="Times New Roman"/>
          <w:sz w:val="24"/>
          <w:u w:val="single"/>
        </w:rPr>
        <w:t>BE</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0A4FB2">
        <w:rPr>
          <w:rFonts w:ascii="Times New Roman" w:hAnsi="Times New Roman" w:cs="Times New Roman"/>
          <w:sz w:val="24"/>
          <w:u w:val="single"/>
        </w:rPr>
        <w:t>596,109</w:t>
      </w:r>
      <w:r w:rsidRPr="00362DB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t xml:space="preserve">Sales of Electricity </w:t>
      </w:r>
    </w:p>
    <w:p w:rsidR="00DA4042" w:rsidRDefault="00DA4042" w:rsidP="00DA4042">
      <w:pPr>
        <w:spacing w:after="0"/>
        <w:rPr>
          <w:rFonts w:ascii="Times New Roman" w:hAnsi="Times New Roman" w:cs="Times New Roman"/>
          <w:sz w:val="24"/>
        </w:rPr>
      </w:pPr>
    </w:p>
    <w:p w:rsidR="00B34A39" w:rsidRDefault="00B34A39" w:rsidP="00DA4042">
      <w:pPr>
        <w:spacing w:after="0"/>
        <w:jc w:val="both"/>
        <w:rPr>
          <w:rFonts w:ascii="Times New Roman" w:hAnsi="Times New Roman" w:cs="Times New Roman"/>
          <w:sz w:val="24"/>
        </w:rPr>
      </w:pPr>
      <w:r>
        <w:rPr>
          <w:rFonts w:ascii="Times New Roman" w:hAnsi="Times New Roman" w:cs="Times New Roman"/>
          <w:sz w:val="24"/>
        </w:rPr>
        <w:t xml:space="preserve">This adjustment </w:t>
      </w:r>
      <w:r w:rsidR="007E528F">
        <w:rPr>
          <w:rFonts w:ascii="Times New Roman" w:hAnsi="Times New Roman" w:cs="Times New Roman"/>
          <w:sz w:val="24"/>
        </w:rPr>
        <w:t>removes revenue associated with the</w:t>
      </w:r>
      <w:r w:rsidR="00677D36">
        <w:rPr>
          <w:rFonts w:ascii="Times New Roman" w:hAnsi="Times New Roman" w:cs="Times New Roman"/>
          <w:sz w:val="24"/>
        </w:rPr>
        <w:t xml:space="preserve"> </w:t>
      </w:r>
      <w:r w:rsidR="007E528F">
        <w:rPr>
          <w:rFonts w:ascii="Times New Roman" w:hAnsi="Times New Roman" w:cs="Times New Roman"/>
          <w:sz w:val="24"/>
        </w:rPr>
        <w:t xml:space="preserve">NCCR tariff; removes carrying cost on </w:t>
      </w:r>
      <w:r w:rsidR="00C466F5">
        <w:rPr>
          <w:rFonts w:ascii="Times New Roman" w:hAnsi="Times New Roman" w:cs="Times New Roman"/>
          <w:sz w:val="24"/>
        </w:rPr>
        <w:t>over</w:t>
      </w:r>
      <w:r w:rsidR="007E528F">
        <w:rPr>
          <w:rFonts w:ascii="Times New Roman" w:hAnsi="Times New Roman" w:cs="Times New Roman"/>
          <w:sz w:val="24"/>
        </w:rPr>
        <w:t xml:space="preserve">-recovered fuel balance, which are </w:t>
      </w:r>
      <w:r w:rsidR="00353D91">
        <w:rPr>
          <w:rFonts w:ascii="Times New Roman" w:hAnsi="Times New Roman" w:cs="Times New Roman"/>
          <w:sz w:val="24"/>
        </w:rPr>
        <w:t xml:space="preserve">reflected </w:t>
      </w:r>
      <w:r w:rsidR="007E528F">
        <w:rPr>
          <w:rFonts w:ascii="Times New Roman" w:hAnsi="Times New Roman" w:cs="Times New Roman"/>
          <w:sz w:val="24"/>
        </w:rPr>
        <w:t>in fuel rates; reflects revenue sharing associated with economy energy sales and short-term capacity sales;</w:t>
      </w:r>
      <w:r w:rsidR="00C466F5">
        <w:rPr>
          <w:rFonts w:ascii="Times New Roman" w:hAnsi="Times New Roman" w:cs="Times New Roman"/>
          <w:sz w:val="24"/>
        </w:rPr>
        <w:t xml:space="preserve"> removes </w:t>
      </w:r>
      <w:r w:rsidR="007E528F">
        <w:rPr>
          <w:rFonts w:ascii="Times New Roman" w:hAnsi="Times New Roman" w:cs="Times New Roman"/>
          <w:sz w:val="24"/>
        </w:rPr>
        <w:t xml:space="preserve">the </w:t>
      </w:r>
      <w:r w:rsidR="00C466F5">
        <w:rPr>
          <w:rFonts w:ascii="Times New Roman" w:hAnsi="Times New Roman" w:cs="Times New Roman"/>
          <w:sz w:val="24"/>
        </w:rPr>
        <w:t>carrying cost</w:t>
      </w:r>
      <w:r w:rsidR="007E528F">
        <w:rPr>
          <w:rFonts w:ascii="Times New Roman" w:hAnsi="Times New Roman" w:cs="Times New Roman"/>
          <w:sz w:val="24"/>
        </w:rPr>
        <w:t xml:space="preserve"> associated with </w:t>
      </w:r>
      <w:r w:rsidR="00C466F5">
        <w:rPr>
          <w:rFonts w:ascii="Times New Roman" w:hAnsi="Times New Roman" w:cs="Times New Roman"/>
          <w:sz w:val="24"/>
        </w:rPr>
        <w:t>under-recovery of DSM programs;</w:t>
      </w:r>
      <w:r w:rsidR="00391328">
        <w:rPr>
          <w:rFonts w:ascii="Times New Roman" w:hAnsi="Times New Roman" w:cs="Times New Roman"/>
          <w:sz w:val="24"/>
        </w:rPr>
        <w:t xml:space="preserve"> removes the revenue from municipal franchise fees; and </w:t>
      </w:r>
      <w:r w:rsidR="009555A8">
        <w:rPr>
          <w:rFonts w:ascii="Times New Roman" w:hAnsi="Times New Roman" w:cs="Times New Roman"/>
          <w:sz w:val="24"/>
        </w:rPr>
        <w:t xml:space="preserve">normalizes </w:t>
      </w:r>
      <w:r w:rsidR="00605227">
        <w:rPr>
          <w:rFonts w:ascii="Times New Roman" w:hAnsi="Times New Roman" w:cs="Times New Roman"/>
          <w:sz w:val="24"/>
        </w:rPr>
        <w:t xml:space="preserve">DSM revenues </w:t>
      </w:r>
      <w:r w:rsidR="009555A8">
        <w:rPr>
          <w:rFonts w:ascii="Times New Roman" w:hAnsi="Times New Roman" w:cs="Times New Roman"/>
          <w:sz w:val="24"/>
        </w:rPr>
        <w:t xml:space="preserve">for the test period.  </w:t>
      </w:r>
    </w:p>
    <w:p w:rsidR="00B34A39" w:rsidRDefault="00B34A39" w:rsidP="00DA4042">
      <w:pPr>
        <w:spacing w:after="0"/>
        <w:jc w:val="both"/>
        <w:rPr>
          <w:rFonts w:ascii="Times New Roman" w:hAnsi="Times New Roman" w:cs="Times New Roman"/>
          <w:sz w:val="24"/>
        </w:rPr>
      </w:pPr>
    </w:p>
    <w:p w:rsidR="00B34A39" w:rsidRDefault="00C466F5" w:rsidP="002B2EC9">
      <w:pPr>
        <w:spacing w:after="0"/>
        <w:jc w:val="center"/>
        <w:rPr>
          <w:rFonts w:ascii="Times New Roman" w:hAnsi="Times New Roman" w:cs="Times New Roman"/>
          <w:sz w:val="24"/>
        </w:rPr>
      </w:pPr>
      <w:r w:rsidRPr="00C466F5">
        <w:rPr>
          <w:noProof/>
        </w:rPr>
        <w:drawing>
          <wp:inline distT="0" distB="0" distL="0" distR="0">
            <wp:extent cx="4183380" cy="21031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83380" cy="2103120"/>
                    </a:xfrm>
                    <a:prstGeom prst="rect">
                      <a:avLst/>
                    </a:prstGeom>
                    <a:noFill/>
                    <a:ln>
                      <a:noFill/>
                    </a:ln>
                  </pic:spPr>
                </pic:pic>
              </a:graphicData>
            </a:graphic>
          </wp:inline>
        </w:drawing>
      </w:r>
    </w:p>
    <w:p w:rsidR="00DA4042" w:rsidRDefault="00DA4042" w:rsidP="00DA4042">
      <w:pPr>
        <w:spacing w:after="0"/>
        <w:jc w:val="both"/>
        <w:rPr>
          <w:rFonts w:ascii="Times New Roman" w:hAnsi="Times New Roman" w:cs="Times New Roman"/>
          <w:sz w:val="24"/>
        </w:rPr>
      </w:pPr>
    </w:p>
    <w:p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Pr>
          <w:rFonts w:ascii="Times New Roman" w:hAnsi="Times New Roman" w:cs="Times New Roman"/>
          <w:sz w:val="24"/>
          <w:u w:val="single"/>
        </w:rPr>
        <w:t>B</w:t>
      </w:r>
      <w:r w:rsidR="000A4FB2">
        <w:rPr>
          <w:rFonts w:ascii="Times New Roman" w:hAnsi="Times New Roman" w:cs="Times New Roman"/>
          <w:sz w:val="24"/>
          <w:u w:val="single"/>
        </w:rPr>
        <w:t>F</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533A63">
        <w:rPr>
          <w:rFonts w:ascii="Times New Roman" w:hAnsi="Times New Roman" w:cs="Times New Roman"/>
          <w:sz w:val="24"/>
          <w:u w:val="single"/>
        </w:rPr>
        <w:t>1</w:t>
      </w:r>
      <w:r w:rsidR="000A4FB2">
        <w:rPr>
          <w:rFonts w:ascii="Times New Roman" w:hAnsi="Times New Roman" w:cs="Times New Roman"/>
          <w:sz w:val="24"/>
          <w:u w:val="single"/>
        </w:rPr>
        <w:t>00,534</w:t>
      </w:r>
      <w:r w:rsidRPr="00362DB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t xml:space="preserve">Other Operating Revenues  </w:t>
      </w:r>
    </w:p>
    <w:p w:rsidR="00362DBE" w:rsidRDefault="00362DBE" w:rsidP="00362DBE">
      <w:pPr>
        <w:spacing w:after="0"/>
        <w:rPr>
          <w:rFonts w:ascii="Times New Roman" w:hAnsi="Times New Roman" w:cs="Times New Roman"/>
          <w:sz w:val="24"/>
        </w:rPr>
      </w:pPr>
    </w:p>
    <w:p w:rsidR="00E8777A" w:rsidRDefault="00E8777A" w:rsidP="00E8777A">
      <w:pPr>
        <w:spacing w:after="0"/>
        <w:jc w:val="both"/>
        <w:rPr>
          <w:rFonts w:ascii="Times New Roman" w:hAnsi="Times New Roman" w:cs="Times New Roman"/>
          <w:sz w:val="24"/>
        </w:rPr>
      </w:pPr>
      <w:r>
        <w:rPr>
          <w:rFonts w:ascii="Times New Roman" w:hAnsi="Times New Roman" w:cs="Times New Roman"/>
          <w:sz w:val="24"/>
        </w:rPr>
        <w:t xml:space="preserve">This adjustment </w:t>
      </w:r>
      <w:r w:rsidR="007E528F">
        <w:rPr>
          <w:rFonts w:ascii="Times New Roman" w:hAnsi="Times New Roman" w:cs="Times New Roman"/>
          <w:sz w:val="24"/>
        </w:rPr>
        <w:t>removes revenue associated with unregulated outdoor lighting; re</w:t>
      </w:r>
      <w:r w:rsidR="00C466F5">
        <w:rPr>
          <w:rFonts w:ascii="Times New Roman" w:hAnsi="Times New Roman" w:cs="Times New Roman"/>
          <w:sz w:val="24"/>
        </w:rPr>
        <w:t>flects</w:t>
      </w:r>
      <w:r w:rsidR="007E528F">
        <w:rPr>
          <w:rFonts w:ascii="Times New Roman" w:hAnsi="Times New Roman" w:cs="Times New Roman"/>
          <w:sz w:val="24"/>
        </w:rPr>
        <w:t xml:space="preserve"> </w:t>
      </w:r>
      <w:r w:rsidR="00C466F5">
        <w:rPr>
          <w:rFonts w:ascii="Times New Roman" w:hAnsi="Times New Roman" w:cs="Times New Roman"/>
          <w:sz w:val="24"/>
        </w:rPr>
        <w:t xml:space="preserve">the adjustment for </w:t>
      </w:r>
      <w:r w:rsidR="007E528F">
        <w:rPr>
          <w:rFonts w:ascii="Times New Roman" w:hAnsi="Times New Roman" w:cs="Times New Roman"/>
          <w:sz w:val="24"/>
        </w:rPr>
        <w:t xml:space="preserve">wholesale to retail market differential; reflects an adjustment to allow for an equity return on nuclear fuel associated with Plant Vogtle Units 3 and 4; removes the revenue associated with the FERC boundary land; </w:t>
      </w:r>
      <w:r w:rsidR="00C466F5">
        <w:rPr>
          <w:rFonts w:ascii="Times New Roman" w:hAnsi="Times New Roman" w:cs="Times New Roman"/>
          <w:sz w:val="24"/>
        </w:rPr>
        <w:t xml:space="preserve">reflects revenue sharing associated with wireless co-location program; and </w:t>
      </w:r>
      <w:r w:rsidR="009555A8">
        <w:rPr>
          <w:rFonts w:ascii="Times New Roman" w:hAnsi="Times New Roman" w:cs="Times New Roman"/>
          <w:sz w:val="24"/>
        </w:rPr>
        <w:t xml:space="preserve">normalizes </w:t>
      </w:r>
      <w:r w:rsidR="00605227">
        <w:rPr>
          <w:rFonts w:ascii="Times New Roman" w:hAnsi="Times New Roman" w:cs="Times New Roman"/>
          <w:sz w:val="24"/>
        </w:rPr>
        <w:t>the federal and state tax reform refund</w:t>
      </w:r>
      <w:r w:rsidR="00A66682">
        <w:rPr>
          <w:rFonts w:ascii="Times New Roman" w:hAnsi="Times New Roman" w:cs="Times New Roman"/>
          <w:sz w:val="24"/>
        </w:rPr>
        <w:t>s</w:t>
      </w:r>
      <w:r w:rsidR="00605227">
        <w:rPr>
          <w:rFonts w:ascii="Times New Roman" w:hAnsi="Times New Roman" w:cs="Times New Roman"/>
          <w:sz w:val="24"/>
        </w:rPr>
        <w:t xml:space="preserve"> </w:t>
      </w:r>
      <w:r w:rsidR="009555A8">
        <w:rPr>
          <w:rFonts w:ascii="Times New Roman" w:hAnsi="Times New Roman" w:cs="Times New Roman"/>
          <w:sz w:val="24"/>
        </w:rPr>
        <w:t xml:space="preserve">for the test period.  </w:t>
      </w:r>
      <w:r w:rsidR="00C466F5">
        <w:rPr>
          <w:rFonts w:ascii="Times New Roman" w:hAnsi="Times New Roman" w:cs="Times New Roman"/>
          <w:sz w:val="24"/>
        </w:rPr>
        <w:t xml:space="preserve">  </w:t>
      </w:r>
    </w:p>
    <w:p w:rsidR="00793F6A" w:rsidRDefault="00793F6A" w:rsidP="00E8777A">
      <w:pPr>
        <w:spacing w:after="0"/>
        <w:jc w:val="both"/>
        <w:rPr>
          <w:rFonts w:ascii="Times New Roman" w:hAnsi="Times New Roman" w:cs="Times New Roman"/>
          <w:sz w:val="24"/>
        </w:rPr>
      </w:pPr>
    </w:p>
    <w:p w:rsidR="00E8777A" w:rsidRDefault="00391328" w:rsidP="00793F6A">
      <w:pPr>
        <w:spacing w:after="0"/>
        <w:jc w:val="center"/>
        <w:rPr>
          <w:rFonts w:ascii="Times New Roman" w:hAnsi="Times New Roman" w:cs="Times New Roman"/>
          <w:sz w:val="24"/>
        </w:rPr>
      </w:pPr>
      <w:r w:rsidRPr="00391328">
        <w:rPr>
          <w:noProof/>
        </w:rPr>
        <w:drawing>
          <wp:inline distT="0" distB="0" distL="0" distR="0">
            <wp:extent cx="3457575" cy="18669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57575" cy="1866900"/>
                    </a:xfrm>
                    <a:prstGeom prst="rect">
                      <a:avLst/>
                    </a:prstGeom>
                    <a:noFill/>
                    <a:ln>
                      <a:noFill/>
                    </a:ln>
                  </pic:spPr>
                </pic:pic>
              </a:graphicData>
            </a:graphic>
          </wp:inline>
        </w:drawing>
      </w:r>
    </w:p>
    <w:p w:rsidR="00793F6A" w:rsidRDefault="00793F6A" w:rsidP="00DA4042">
      <w:pPr>
        <w:spacing w:after="0"/>
        <w:jc w:val="both"/>
        <w:rPr>
          <w:rFonts w:ascii="Times New Roman" w:hAnsi="Times New Roman" w:cs="Times New Roman"/>
          <w:sz w:val="24"/>
        </w:rPr>
      </w:pPr>
    </w:p>
    <w:p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lastRenderedPageBreak/>
        <w:t xml:space="preserve">FOOTNOTE </w:t>
      </w:r>
      <w:r w:rsidR="000A4FB2">
        <w:rPr>
          <w:rFonts w:ascii="Times New Roman" w:hAnsi="Times New Roman" w:cs="Times New Roman"/>
          <w:sz w:val="24"/>
          <w:u w:val="single"/>
        </w:rPr>
        <w:t>BG</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0A4FB2">
        <w:rPr>
          <w:rFonts w:ascii="Times New Roman" w:hAnsi="Times New Roman" w:cs="Times New Roman"/>
          <w:sz w:val="24"/>
          <w:u w:val="single"/>
        </w:rPr>
        <w:t>55,709</w:t>
      </w:r>
      <w:r>
        <w:rPr>
          <w:rFonts w:ascii="Times New Roman" w:hAnsi="Times New Roman" w:cs="Times New Roman"/>
          <w:sz w:val="24"/>
        </w:rPr>
        <w:tab/>
      </w:r>
      <w:r>
        <w:rPr>
          <w:rFonts w:ascii="Times New Roman" w:hAnsi="Times New Roman" w:cs="Times New Roman"/>
          <w:sz w:val="24"/>
        </w:rPr>
        <w:tab/>
      </w:r>
      <w:r w:rsidR="008567FE">
        <w:rPr>
          <w:rFonts w:ascii="Times New Roman" w:hAnsi="Times New Roman" w:cs="Times New Roman"/>
          <w:sz w:val="24"/>
        </w:rPr>
        <w:t>Total Operation and Maintenance Expenses</w:t>
      </w:r>
      <w:r>
        <w:rPr>
          <w:rFonts w:ascii="Times New Roman" w:hAnsi="Times New Roman" w:cs="Times New Roman"/>
          <w:sz w:val="24"/>
        </w:rPr>
        <w:t xml:space="preserve"> </w:t>
      </w:r>
    </w:p>
    <w:p w:rsidR="00362DBE" w:rsidRDefault="00362DBE" w:rsidP="00362DBE">
      <w:pPr>
        <w:spacing w:after="0"/>
        <w:rPr>
          <w:rFonts w:ascii="Times New Roman" w:hAnsi="Times New Roman" w:cs="Times New Roman"/>
          <w:sz w:val="24"/>
        </w:rPr>
      </w:pPr>
    </w:p>
    <w:p w:rsidR="008567FE" w:rsidRDefault="008567FE" w:rsidP="00DA4042">
      <w:pPr>
        <w:spacing w:after="0"/>
        <w:jc w:val="both"/>
        <w:rPr>
          <w:rFonts w:ascii="Times New Roman" w:hAnsi="Times New Roman" w:cs="Times New Roman"/>
          <w:sz w:val="24"/>
        </w:rPr>
      </w:pPr>
      <w:r w:rsidRPr="008567FE">
        <w:rPr>
          <w:rFonts w:ascii="Times New Roman" w:hAnsi="Times New Roman" w:cs="Times New Roman"/>
          <w:sz w:val="24"/>
        </w:rPr>
        <w:t xml:space="preserve">This adjustment </w:t>
      </w:r>
      <w:r w:rsidR="00717A86">
        <w:rPr>
          <w:rFonts w:ascii="Times New Roman" w:hAnsi="Times New Roman" w:cs="Times New Roman"/>
          <w:sz w:val="24"/>
        </w:rPr>
        <w:t xml:space="preserve">removes </w:t>
      </w:r>
      <w:r w:rsidR="00C466F5">
        <w:rPr>
          <w:rFonts w:ascii="Times New Roman" w:hAnsi="Times New Roman" w:cs="Times New Roman"/>
          <w:sz w:val="24"/>
        </w:rPr>
        <w:t>interest component of expenses associated with capitalized PPAs</w:t>
      </w:r>
      <w:r w:rsidR="00717A86">
        <w:rPr>
          <w:rFonts w:ascii="Times New Roman" w:hAnsi="Times New Roman" w:cs="Times New Roman"/>
          <w:sz w:val="24"/>
        </w:rPr>
        <w:t xml:space="preserve">; </w:t>
      </w:r>
      <w:r w:rsidR="00717A86" w:rsidRPr="008567FE">
        <w:rPr>
          <w:rFonts w:ascii="Times New Roman" w:hAnsi="Times New Roman" w:cs="Times New Roman"/>
          <w:sz w:val="24"/>
        </w:rPr>
        <w:t xml:space="preserve">removes expenses associated with unregulated outdoor lighting; removes </w:t>
      </w:r>
      <w:r w:rsidR="00C466F5">
        <w:rPr>
          <w:rFonts w:ascii="Times New Roman" w:hAnsi="Times New Roman" w:cs="Times New Roman"/>
          <w:sz w:val="24"/>
        </w:rPr>
        <w:t>brand</w:t>
      </w:r>
      <w:r w:rsidR="00717A86" w:rsidRPr="008567FE">
        <w:rPr>
          <w:rFonts w:ascii="Times New Roman" w:hAnsi="Times New Roman" w:cs="Times New Roman"/>
          <w:sz w:val="24"/>
        </w:rPr>
        <w:t xml:space="preserve"> advertising expenses</w:t>
      </w:r>
      <w:r w:rsidR="00717A86">
        <w:rPr>
          <w:rFonts w:ascii="Times New Roman" w:hAnsi="Times New Roman" w:cs="Times New Roman"/>
          <w:sz w:val="24"/>
        </w:rPr>
        <w:t>;</w:t>
      </w:r>
      <w:r w:rsidR="00717A86" w:rsidRPr="00717A86">
        <w:rPr>
          <w:rFonts w:ascii="Times New Roman" w:hAnsi="Times New Roman" w:cs="Times New Roman"/>
          <w:sz w:val="24"/>
        </w:rPr>
        <w:t xml:space="preserve"> </w:t>
      </w:r>
      <w:r w:rsidR="00717A86" w:rsidRPr="008567FE">
        <w:rPr>
          <w:rFonts w:ascii="Times New Roman" w:hAnsi="Times New Roman" w:cs="Times New Roman"/>
          <w:sz w:val="24"/>
        </w:rPr>
        <w:t>removes SCGE</w:t>
      </w:r>
      <w:r w:rsidR="00C466F5">
        <w:rPr>
          <w:rFonts w:ascii="Times New Roman" w:hAnsi="Times New Roman" w:cs="Times New Roman"/>
          <w:sz w:val="24"/>
        </w:rPr>
        <w:t>M</w:t>
      </w:r>
      <w:r w:rsidR="00717A86" w:rsidRPr="008567FE">
        <w:rPr>
          <w:rFonts w:ascii="Times New Roman" w:hAnsi="Times New Roman" w:cs="Times New Roman"/>
          <w:sz w:val="24"/>
        </w:rPr>
        <w:t xml:space="preserve"> expenses for wholesale activities</w:t>
      </w:r>
      <w:r w:rsidR="00717A86">
        <w:rPr>
          <w:rFonts w:ascii="Times New Roman" w:hAnsi="Times New Roman" w:cs="Times New Roman"/>
          <w:sz w:val="24"/>
        </w:rPr>
        <w:t>;</w:t>
      </w:r>
      <w:r w:rsidR="00717A86" w:rsidRPr="008567FE">
        <w:rPr>
          <w:rFonts w:ascii="Times New Roman" w:hAnsi="Times New Roman" w:cs="Times New Roman"/>
          <w:sz w:val="24"/>
        </w:rPr>
        <w:t xml:space="preserve"> </w:t>
      </w:r>
      <w:r w:rsidR="00717A86">
        <w:rPr>
          <w:rFonts w:ascii="Times New Roman" w:hAnsi="Times New Roman" w:cs="Times New Roman"/>
          <w:sz w:val="24"/>
        </w:rPr>
        <w:t xml:space="preserve">removes the expenses related to FERC boundary land; </w:t>
      </w:r>
      <w:r w:rsidR="00C466F5">
        <w:rPr>
          <w:rFonts w:ascii="Times New Roman" w:hAnsi="Times New Roman" w:cs="Times New Roman"/>
          <w:sz w:val="24"/>
        </w:rPr>
        <w:t>incorporates</w:t>
      </w:r>
      <w:r w:rsidR="00717A86">
        <w:rPr>
          <w:rFonts w:ascii="Times New Roman" w:hAnsi="Times New Roman" w:cs="Times New Roman"/>
          <w:sz w:val="24"/>
        </w:rPr>
        <w:t xml:space="preserve"> </w:t>
      </w:r>
      <w:r w:rsidR="00353D91">
        <w:rPr>
          <w:rFonts w:ascii="Times New Roman" w:hAnsi="Times New Roman" w:cs="Times New Roman"/>
          <w:sz w:val="24"/>
        </w:rPr>
        <w:t xml:space="preserve">40% of  </w:t>
      </w:r>
      <w:r w:rsidR="00717A86">
        <w:rPr>
          <w:rFonts w:ascii="Times New Roman" w:hAnsi="Times New Roman" w:cs="Times New Roman"/>
          <w:sz w:val="24"/>
        </w:rPr>
        <w:t>the savings related to the merger with AGL Resources</w:t>
      </w:r>
      <w:r w:rsidR="00353D91">
        <w:rPr>
          <w:rFonts w:ascii="Times New Roman" w:hAnsi="Times New Roman" w:cs="Times New Roman"/>
          <w:sz w:val="24"/>
        </w:rPr>
        <w:t xml:space="preserve"> as approved by the Commission in Docket No. 39971</w:t>
      </w:r>
      <w:r w:rsidR="00717A86">
        <w:rPr>
          <w:rFonts w:ascii="Times New Roman" w:hAnsi="Times New Roman" w:cs="Times New Roman"/>
          <w:sz w:val="24"/>
        </w:rPr>
        <w:t xml:space="preserve">; </w:t>
      </w:r>
      <w:r w:rsidR="00717A86" w:rsidRPr="008567FE">
        <w:rPr>
          <w:rFonts w:ascii="Times New Roman" w:hAnsi="Times New Roman" w:cs="Times New Roman"/>
          <w:sz w:val="24"/>
        </w:rPr>
        <w:t>removes NE</w:t>
      </w:r>
      <w:r w:rsidR="00677D36">
        <w:rPr>
          <w:rFonts w:ascii="Times New Roman" w:hAnsi="Times New Roman" w:cs="Times New Roman"/>
          <w:sz w:val="24"/>
        </w:rPr>
        <w:t>I</w:t>
      </w:r>
      <w:r w:rsidR="00717A86" w:rsidRPr="008567FE">
        <w:rPr>
          <w:rFonts w:ascii="Times New Roman" w:hAnsi="Times New Roman" w:cs="Times New Roman"/>
          <w:sz w:val="24"/>
        </w:rPr>
        <w:t xml:space="preserve"> expenses; </w:t>
      </w:r>
      <w:r w:rsidRPr="008567FE">
        <w:rPr>
          <w:rFonts w:ascii="Times New Roman" w:hAnsi="Times New Roman" w:cs="Times New Roman"/>
          <w:sz w:val="24"/>
        </w:rPr>
        <w:t xml:space="preserve">reflects treatment of the corporate headquarters as </w:t>
      </w:r>
      <w:r w:rsidR="00F4525E">
        <w:rPr>
          <w:rFonts w:ascii="Times New Roman" w:hAnsi="Times New Roman" w:cs="Times New Roman"/>
          <w:sz w:val="24"/>
        </w:rPr>
        <w:t xml:space="preserve">an </w:t>
      </w:r>
      <w:r w:rsidRPr="008567FE">
        <w:rPr>
          <w:rFonts w:ascii="Times New Roman" w:hAnsi="Times New Roman" w:cs="Times New Roman"/>
          <w:sz w:val="24"/>
        </w:rPr>
        <w:t>operating lease; reflects the regulatory treatment for additional sums associated with certain purchased power agreements and the DSM program</w:t>
      </w:r>
      <w:r w:rsidR="00F4525E">
        <w:rPr>
          <w:rFonts w:ascii="Times New Roman" w:hAnsi="Times New Roman" w:cs="Times New Roman"/>
          <w:sz w:val="24"/>
        </w:rPr>
        <w:t xml:space="preserve">; reflects the consultant fees </w:t>
      </w:r>
      <w:r w:rsidR="00C466F5">
        <w:rPr>
          <w:rFonts w:ascii="Times New Roman" w:hAnsi="Times New Roman" w:cs="Times New Roman"/>
          <w:sz w:val="24"/>
        </w:rPr>
        <w:t xml:space="preserve">provided </w:t>
      </w:r>
      <w:r w:rsidR="00F4525E">
        <w:rPr>
          <w:rFonts w:ascii="Times New Roman" w:hAnsi="Times New Roman" w:cs="Times New Roman"/>
          <w:sz w:val="24"/>
        </w:rPr>
        <w:t xml:space="preserve">for the Georgia Public Service Commission; and </w:t>
      </w:r>
      <w:r w:rsidR="009555A8">
        <w:rPr>
          <w:rFonts w:ascii="Times New Roman" w:hAnsi="Times New Roman" w:cs="Times New Roman"/>
          <w:sz w:val="24"/>
        </w:rPr>
        <w:t>normalizes</w:t>
      </w:r>
      <w:r w:rsidR="00605227">
        <w:rPr>
          <w:rFonts w:ascii="Times New Roman" w:hAnsi="Times New Roman" w:cs="Times New Roman"/>
          <w:sz w:val="24"/>
        </w:rPr>
        <w:t xml:space="preserve"> O&amp;M expenses for DSM, GPSC consultant fees, storm damage accrual, and environmental remediation</w:t>
      </w:r>
      <w:r w:rsidR="00A66682">
        <w:rPr>
          <w:rFonts w:ascii="Times New Roman" w:hAnsi="Times New Roman" w:cs="Times New Roman"/>
          <w:sz w:val="24"/>
        </w:rPr>
        <w:t xml:space="preserve"> accrual</w:t>
      </w:r>
      <w:r w:rsidR="00605227">
        <w:rPr>
          <w:rFonts w:ascii="Times New Roman" w:hAnsi="Times New Roman" w:cs="Times New Roman"/>
          <w:sz w:val="24"/>
        </w:rPr>
        <w:t xml:space="preserve"> </w:t>
      </w:r>
      <w:r w:rsidR="009555A8">
        <w:rPr>
          <w:rFonts w:ascii="Times New Roman" w:hAnsi="Times New Roman" w:cs="Times New Roman"/>
          <w:sz w:val="24"/>
        </w:rPr>
        <w:t xml:space="preserve">for the test period.  </w:t>
      </w:r>
    </w:p>
    <w:p w:rsidR="00D07DC5" w:rsidRDefault="00D07DC5" w:rsidP="00DA4042">
      <w:pPr>
        <w:spacing w:after="0"/>
        <w:jc w:val="both"/>
        <w:rPr>
          <w:rFonts w:ascii="Times New Roman" w:hAnsi="Times New Roman" w:cs="Times New Roman"/>
          <w:sz w:val="24"/>
        </w:rPr>
      </w:pPr>
    </w:p>
    <w:p w:rsidR="00D07DC5" w:rsidRDefault="00EE0D89" w:rsidP="00D07DC5">
      <w:pPr>
        <w:spacing w:after="0"/>
        <w:jc w:val="center"/>
        <w:rPr>
          <w:rFonts w:ascii="Times New Roman" w:hAnsi="Times New Roman" w:cs="Times New Roman"/>
          <w:sz w:val="24"/>
        </w:rPr>
      </w:pPr>
      <w:r w:rsidRPr="00EE0D89">
        <w:rPr>
          <w:noProof/>
        </w:rPr>
        <w:drawing>
          <wp:inline distT="0" distB="0" distL="0" distR="0">
            <wp:extent cx="3343275" cy="31337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3275" cy="3133725"/>
                    </a:xfrm>
                    <a:prstGeom prst="rect">
                      <a:avLst/>
                    </a:prstGeom>
                    <a:noFill/>
                    <a:ln>
                      <a:noFill/>
                    </a:ln>
                  </pic:spPr>
                </pic:pic>
              </a:graphicData>
            </a:graphic>
          </wp:inline>
        </w:drawing>
      </w:r>
    </w:p>
    <w:p w:rsidR="00362DBE" w:rsidRDefault="00362DBE" w:rsidP="00DA4042">
      <w:pPr>
        <w:spacing w:after="0"/>
        <w:jc w:val="both"/>
        <w:rPr>
          <w:rFonts w:ascii="Times New Roman" w:hAnsi="Times New Roman" w:cs="Times New Roman"/>
          <w:sz w:val="24"/>
        </w:rPr>
      </w:pPr>
    </w:p>
    <w:p w:rsidR="002B2EC9" w:rsidRDefault="002B2EC9" w:rsidP="00362DBE">
      <w:pPr>
        <w:spacing w:after="0"/>
        <w:rPr>
          <w:rFonts w:ascii="Times New Roman" w:hAnsi="Times New Roman" w:cs="Times New Roman"/>
          <w:sz w:val="24"/>
          <w:u w:val="single"/>
        </w:rPr>
      </w:pPr>
    </w:p>
    <w:p w:rsidR="009555A8" w:rsidRDefault="009555A8">
      <w:pPr>
        <w:rPr>
          <w:rFonts w:ascii="Times New Roman" w:hAnsi="Times New Roman" w:cs="Times New Roman"/>
          <w:sz w:val="24"/>
          <w:u w:val="single"/>
        </w:rPr>
      </w:pPr>
      <w:r>
        <w:rPr>
          <w:rFonts w:ascii="Times New Roman" w:hAnsi="Times New Roman" w:cs="Times New Roman"/>
          <w:sz w:val="24"/>
          <w:u w:val="single"/>
        </w:rPr>
        <w:br w:type="page"/>
      </w:r>
    </w:p>
    <w:p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lastRenderedPageBreak/>
        <w:t xml:space="preserve">FOOTNOTE </w:t>
      </w:r>
      <w:r w:rsidR="000A4FB2">
        <w:rPr>
          <w:rFonts w:ascii="Times New Roman" w:hAnsi="Times New Roman" w:cs="Times New Roman"/>
          <w:sz w:val="24"/>
          <w:u w:val="single"/>
        </w:rPr>
        <w:t>BH</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0A4FB2">
        <w:rPr>
          <w:rFonts w:ascii="Times New Roman" w:hAnsi="Times New Roman" w:cs="Times New Roman"/>
          <w:sz w:val="24"/>
          <w:u w:val="single"/>
        </w:rPr>
        <w:t>91,640</w:t>
      </w:r>
      <w:r>
        <w:rPr>
          <w:rFonts w:ascii="Times New Roman" w:hAnsi="Times New Roman" w:cs="Times New Roman"/>
          <w:sz w:val="24"/>
        </w:rPr>
        <w:tab/>
      </w:r>
      <w:r>
        <w:rPr>
          <w:rFonts w:ascii="Times New Roman" w:hAnsi="Times New Roman" w:cs="Times New Roman"/>
          <w:sz w:val="24"/>
        </w:rPr>
        <w:tab/>
      </w:r>
      <w:r w:rsidR="008567FE">
        <w:rPr>
          <w:rFonts w:ascii="Times New Roman" w:hAnsi="Times New Roman" w:cs="Times New Roman"/>
          <w:sz w:val="24"/>
        </w:rPr>
        <w:t>Depreciation Expense</w:t>
      </w:r>
      <w:r>
        <w:rPr>
          <w:rFonts w:ascii="Times New Roman" w:hAnsi="Times New Roman" w:cs="Times New Roman"/>
          <w:sz w:val="24"/>
        </w:rPr>
        <w:t xml:space="preserve"> </w:t>
      </w:r>
    </w:p>
    <w:p w:rsidR="00362DBE" w:rsidRDefault="00362DBE" w:rsidP="00362DBE">
      <w:pPr>
        <w:spacing w:after="0"/>
        <w:rPr>
          <w:rFonts w:ascii="Times New Roman" w:hAnsi="Times New Roman" w:cs="Times New Roman"/>
          <w:sz w:val="24"/>
        </w:rPr>
      </w:pPr>
    </w:p>
    <w:p w:rsidR="009555A8" w:rsidRDefault="008567FE" w:rsidP="00F4525E">
      <w:pPr>
        <w:spacing w:after="0"/>
        <w:jc w:val="both"/>
        <w:rPr>
          <w:rFonts w:ascii="Times New Roman" w:hAnsi="Times New Roman" w:cs="Times New Roman"/>
          <w:sz w:val="24"/>
        </w:rPr>
      </w:pPr>
      <w:r w:rsidRPr="008567FE">
        <w:rPr>
          <w:rFonts w:ascii="Times New Roman" w:hAnsi="Times New Roman" w:cs="Times New Roman"/>
          <w:sz w:val="24"/>
        </w:rPr>
        <w:t>This adjustment removes expenses associated with unregulated outdoor lightin</w:t>
      </w:r>
      <w:r w:rsidR="00717A86">
        <w:rPr>
          <w:rFonts w:ascii="Times New Roman" w:hAnsi="Times New Roman" w:cs="Times New Roman"/>
          <w:sz w:val="24"/>
        </w:rPr>
        <w:t>g</w:t>
      </w:r>
      <w:r w:rsidR="00F4525E">
        <w:rPr>
          <w:rFonts w:ascii="Times New Roman" w:hAnsi="Times New Roman" w:cs="Times New Roman"/>
          <w:sz w:val="24"/>
        </w:rPr>
        <w:t xml:space="preserve">; removes </w:t>
      </w:r>
      <w:r w:rsidR="009555A8">
        <w:rPr>
          <w:rFonts w:ascii="Times New Roman" w:hAnsi="Times New Roman" w:cs="Times New Roman"/>
          <w:sz w:val="24"/>
        </w:rPr>
        <w:t xml:space="preserve">depreciation expenses associated with closures of Plant Vogtle </w:t>
      </w:r>
      <w:r w:rsidR="00D80554">
        <w:rPr>
          <w:rFonts w:ascii="Times New Roman" w:hAnsi="Times New Roman" w:cs="Times New Roman"/>
          <w:sz w:val="24"/>
        </w:rPr>
        <w:t xml:space="preserve">Units </w:t>
      </w:r>
      <w:r w:rsidR="009555A8">
        <w:rPr>
          <w:rFonts w:ascii="Times New Roman" w:hAnsi="Times New Roman" w:cs="Times New Roman"/>
          <w:sz w:val="24"/>
        </w:rPr>
        <w:t xml:space="preserve">3 and 4 </w:t>
      </w:r>
      <w:r w:rsidR="00BC56AF">
        <w:rPr>
          <w:rFonts w:ascii="Times New Roman" w:hAnsi="Times New Roman" w:cs="Times New Roman"/>
          <w:sz w:val="24"/>
        </w:rPr>
        <w:t>which are excluded from base rates in accordance with the VCM 17 Order</w:t>
      </w:r>
      <w:r w:rsidR="009555A8">
        <w:rPr>
          <w:rFonts w:ascii="Times New Roman" w:hAnsi="Times New Roman" w:cs="Times New Roman"/>
          <w:sz w:val="24"/>
        </w:rPr>
        <w:t xml:space="preserve">; and normalizes </w:t>
      </w:r>
      <w:r w:rsidR="00605227">
        <w:rPr>
          <w:rFonts w:ascii="Times New Roman" w:hAnsi="Times New Roman" w:cs="Times New Roman"/>
          <w:sz w:val="24"/>
        </w:rPr>
        <w:t xml:space="preserve">depreciation </w:t>
      </w:r>
      <w:r w:rsidR="00A66682">
        <w:rPr>
          <w:rFonts w:ascii="Times New Roman" w:hAnsi="Times New Roman" w:cs="Times New Roman"/>
          <w:sz w:val="24"/>
        </w:rPr>
        <w:t>expenses based on new depreciation rates</w:t>
      </w:r>
      <w:r w:rsidR="00605227">
        <w:rPr>
          <w:rFonts w:ascii="Times New Roman" w:hAnsi="Times New Roman" w:cs="Times New Roman"/>
          <w:sz w:val="24"/>
        </w:rPr>
        <w:t xml:space="preserve"> and ARO </w:t>
      </w:r>
      <w:r w:rsidR="00A66682">
        <w:rPr>
          <w:rFonts w:ascii="Times New Roman" w:hAnsi="Times New Roman" w:cs="Times New Roman"/>
          <w:sz w:val="24"/>
        </w:rPr>
        <w:t>recovery</w:t>
      </w:r>
      <w:r w:rsidR="00605227">
        <w:rPr>
          <w:rFonts w:ascii="Times New Roman" w:hAnsi="Times New Roman" w:cs="Times New Roman"/>
          <w:sz w:val="24"/>
        </w:rPr>
        <w:t xml:space="preserve"> </w:t>
      </w:r>
      <w:r w:rsidR="009555A8">
        <w:rPr>
          <w:rFonts w:ascii="Times New Roman" w:hAnsi="Times New Roman" w:cs="Times New Roman"/>
          <w:sz w:val="24"/>
        </w:rPr>
        <w:t xml:space="preserve">for the test period.  </w:t>
      </w:r>
    </w:p>
    <w:p w:rsidR="009555A8" w:rsidRDefault="009555A8" w:rsidP="00F4525E">
      <w:pPr>
        <w:spacing w:after="0"/>
        <w:jc w:val="both"/>
        <w:rPr>
          <w:rFonts w:ascii="Times New Roman" w:hAnsi="Times New Roman" w:cs="Times New Roman"/>
          <w:sz w:val="24"/>
        </w:rPr>
      </w:pPr>
    </w:p>
    <w:p w:rsidR="009555A8" w:rsidRPr="00F4525E" w:rsidRDefault="00942610" w:rsidP="009555A8">
      <w:pPr>
        <w:spacing w:after="0"/>
        <w:jc w:val="center"/>
        <w:rPr>
          <w:rFonts w:ascii="Times New Roman" w:hAnsi="Times New Roman" w:cs="Times New Roman"/>
          <w:sz w:val="24"/>
        </w:rPr>
      </w:pPr>
      <w:r w:rsidRPr="00942610">
        <w:rPr>
          <w:noProof/>
        </w:rPr>
        <w:drawing>
          <wp:inline distT="0" distB="0" distL="0" distR="0">
            <wp:extent cx="3284220" cy="1257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4220" cy="1257300"/>
                    </a:xfrm>
                    <a:prstGeom prst="rect">
                      <a:avLst/>
                    </a:prstGeom>
                    <a:noFill/>
                    <a:ln>
                      <a:noFill/>
                    </a:ln>
                  </pic:spPr>
                </pic:pic>
              </a:graphicData>
            </a:graphic>
          </wp:inline>
        </w:drawing>
      </w:r>
    </w:p>
    <w:p w:rsidR="009555A8" w:rsidRDefault="009555A8">
      <w:pPr>
        <w:rPr>
          <w:rFonts w:ascii="Times New Roman" w:hAnsi="Times New Roman" w:cs="Times New Roman"/>
          <w:sz w:val="24"/>
          <w:u w:val="single"/>
        </w:rPr>
      </w:pPr>
    </w:p>
    <w:p w:rsidR="000A4FB2" w:rsidRDefault="000A4FB2" w:rsidP="000A4FB2">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Pr>
          <w:rFonts w:ascii="Times New Roman" w:hAnsi="Times New Roman" w:cs="Times New Roman"/>
          <w:sz w:val="24"/>
          <w:u w:val="single"/>
        </w:rPr>
        <w:t>BI</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2220DE">
        <w:rPr>
          <w:rFonts w:ascii="Times New Roman" w:hAnsi="Times New Roman" w:cs="Times New Roman"/>
          <w:sz w:val="24"/>
          <w:u w:val="single"/>
        </w:rPr>
        <w:t>(</w:t>
      </w:r>
      <w:r>
        <w:rPr>
          <w:rFonts w:ascii="Times New Roman" w:hAnsi="Times New Roman" w:cs="Times New Roman"/>
          <w:sz w:val="24"/>
          <w:u w:val="single"/>
        </w:rPr>
        <w:t>424</w:t>
      </w:r>
      <w:r w:rsidR="002220D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Nuclear Decommissioning Expense </w:t>
      </w:r>
    </w:p>
    <w:p w:rsidR="000A4FB2" w:rsidRDefault="000A4FB2" w:rsidP="000A4FB2">
      <w:pPr>
        <w:spacing w:after="0"/>
        <w:rPr>
          <w:rFonts w:ascii="Times New Roman" w:hAnsi="Times New Roman" w:cs="Times New Roman"/>
          <w:sz w:val="24"/>
        </w:rPr>
      </w:pPr>
    </w:p>
    <w:p w:rsidR="000A4FB2" w:rsidRDefault="000A4FB2" w:rsidP="000A4FB2">
      <w:pPr>
        <w:spacing w:after="0"/>
        <w:jc w:val="both"/>
        <w:rPr>
          <w:rFonts w:ascii="Times New Roman" w:hAnsi="Times New Roman" w:cs="Times New Roman"/>
          <w:sz w:val="24"/>
        </w:rPr>
      </w:pPr>
      <w:r w:rsidRPr="008567FE">
        <w:rPr>
          <w:rFonts w:ascii="Times New Roman" w:hAnsi="Times New Roman" w:cs="Times New Roman"/>
          <w:sz w:val="24"/>
        </w:rPr>
        <w:t xml:space="preserve">This adjustment </w:t>
      </w:r>
      <w:r w:rsidR="009555A8">
        <w:rPr>
          <w:rFonts w:ascii="Times New Roman" w:hAnsi="Times New Roman" w:cs="Times New Roman"/>
          <w:sz w:val="24"/>
        </w:rPr>
        <w:t xml:space="preserve">normalizes the </w:t>
      </w:r>
      <w:r w:rsidR="00D80554">
        <w:rPr>
          <w:rFonts w:ascii="Times New Roman" w:hAnsi="Times New Roman" w:cs="Times New Roman"/>
          <w:sz w:val="24"/>
        </w:rPr>
        <w:t xml:space="preserve">proposed </w:t>
      </w:r>
      <w:r w:rsidR="009555A8">
        <w:rPr>
          <w:rFonts w:ascii="Times New Roman" w:hAnsi="Times New Roman" w:cs="Times New Roman"/>
          <w:sz w:val="24"/>
        </w:rPr>
        <w:t xml:space="preserve">nuclear decommissioning accrual for the test period.  </w:t>
      </w:r>
      <w:r w:rsidR="001C12F6">
        <w:rPr>
          <w:rFonts w:ascii="Times New Roman" w:hAnsi="Times New Roman" w:cs="Times New Roman"/>
          <w:sz w:val="24"/>
        </w:rPr>
        <w:t xml:space="preserve"> </w:t>
      </w:r>
    </w:p>
    <w:p w:rsidR="009555A8" w:rsidRDefault="009555A8" w:rsidP="000A4FB2">
      <w:pPr>
        <w:spacing w:after="0"/>
        <w:rPr>
          <w:rFonts w:ascii="Times New Roman" w:hAnsi="Times New Roman" w:cs="Times New Roman"/>
          <w:sz w:val="24"/>
          <w:u w:val="single"/>
        </w:rPr>
      </w:pPr>
    </w:p>
    <w:p w:rsidR="002550F0" w:rsidRDefault="002550F0" w:rsidP="002550F0">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Pr>
          <w:rFonts w:ascii="Times New Roman" w:hAnsi="Times New Roman" w:cs="Times New Roman"/>
          <w:sz w:val="24"/>
          <w:u w:val="single"/>
        </w:rPr>
        <w:t>BJ</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2220DE">
        <w:rPr>
          <w:rFonts w:ascii="Times New Roman" w:hAnsi="Times New Roman" w:cs="Times New Roman"/>
          <w:sz w:val="24"/>
          <w:u w:val="single"/>
        </w:rPr>
        <w:t>6,182</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2A3A54">
        <w:rPr>
          <w:rFonts w:ascii="Times New Roman" w:hAnsi="Times New Roman" w:cs="Times New Roman"/>
          <w:sz w:val="24"/>
        </w:rPr>
        <w:t>Amortization of Obsolete Inventory</w:t>
      </w:r>
      <w:r>
        <w:rPr>
          <w:rFonts w:ascii="Times New Roman" w:hAnsi="Times New Roman" w:cs="Times New Roman"/>
          <w:sz w:val="24"/>
        </w:rPr>
        <w:t xml:space="preserve"> </w:t>
      </w:r>
    </w:p>
    <w:p w:rsidR="002550F0" w:rsidRDefault="002550F0" w:rsidP="002550F0">
      <w:pPr>
        <w:spacing w:after="0"/>
        <w:rPr>
          <w:rFonts w:ascii="Times New Roman" w:hAnsi="Times New Roman" w:cs="Times New Roman"/>
          <w:sz w:val="24"/>
        </w:rPr>
      </w:pPr>
    </w:p>
    <w:p w:rsidR="002550F0" w:rsidRDefault="002550F0" w:rsidP="002550F0">
      <w:pPr>
        <w:spacing w:after="0"/>
        <w:jc w:val="both"/>
        <w:rPr>
          <w:rFonts w:ascii="Times New Roman" w:hAnsi="Times New Roman" w:cs="Times New Roman"/>
          <w:sz w:val="24"/>
        </w:rPr>
      </w:pPr>
      <w:r w:rsidRPr="008567FE">
        <w:rPr>
          <w:rFonts w:ascii="Times New Roman" w:hAnsi="Times New Roman" w:cs="Times New Roman"/>
          <w:sz w:val="24"/>
        </w:rPr>
        <w:t xml:space="preserve">This adjustment </w:t>
      </w:r>
      <w:r>
        <w:rPr>
          <w:rFonts w:ascii="Times New Roman" w:hAnsi="Times New Roman" w:cs="Times New Roman"/>
          <w:sz w:val="24"/>
        </w:rPr>
        <w:t xml:space="preserve">normalizes the </w:t>
      </w:r>
      <w:r w:rsidR="00D80554">
        <w:rPr>
          <w:rFonts w:ascii="Times New Roman" w:hAnsi="Times New Roman" w:cs="Times New Roman"/>
          <w:sz w:val="24"/>
        </w:rPr>
        <w:t xml:space="preserve">proposed </w:t>
      </w:r>
      <w:r w:rsidR="002A3A54">
        <w:rPr>
          <w:rFonts w:ascii="Times New Roman" w:hAnsi="Times New Roman" w:cs="Times New Roman"/>
          <w:sz w:val="24"/>
        </w:rPr>
        <w:t xml:space="preserve">amortization expense of obsolete inventory for the test period.  </w:t>
      </w:r>
    </w:p>
    <w:p w:rsidR="002550F0" w:rsidRDefault="002550F0" w:rsidP="002550F0">
      <w:pPr>
        <w:spacing w:after="0"/>
        <w:rPr>
          <w:rFonts w:ascii="Times New Roman" w:hAnsi="Times New Roman" w:cs="Times New Roman"/>
          <w:sz w:val="24"/>
          <w:u w:val="single"/>
        </w:rPr>
      </w:pPr>
    </w:p>
    <w:p w:rsidR="002550F0" w:rsidRDefault="002550F0" w:rsidP="002550F0">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Pr>
          <w:rFonts w:ascii="Times New Roman" w:hAnsi="Times New Roman" w:cs="Times New Roman"/>
          <w:sz w:val="24"/>
          <w:u w:val="single"/>
        </w:rPr>
        <w:t>BK</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2A3A54">
        <w:rPr>
          <w:rFonts w:ascii="Times New Roman" w:hAnsi="Times New Roman" w:cs="Times New Roman"/>
          <w:sz w:val="24"/>
          <w:u w:val="single"/>
        </w:rPr>
        <w:t>(513)</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2A3A54">
        <w:rPr>
          <w:rFonts w:ascii="Times New Roman" w:hAnsi="Times New Roman" w:cs="Times New Roman"/>
          <w:sz w:val="24"/>
        </w:rPr>
        <w:t xml:space="preserve">Amortization of </w:t>
      </w:r>
      <w:r w:rsidR="004A221D">
        <w:rPr>
          <w:rFonts w:ascii="Times New Roman" w:hAnsi="Times New Roman" w:cs="Times New Roman"/>
          <w:sz w:val="24"/>
        </w:rPr>
        <w:t xml:space="preserve">State </w:t>
      </w:r>
      <w:r w:rsidR="002A3A54">
        <w:rPr>
          <w:rFonts w:ascii="Times New Roman" w:hAnsi="Times New Roman" w:cs="Times New Roman"/>
          <w:sz w:val="24"/>
        </w:rPr>
        <w:t>Tax Reform</w:t>
      </w:r>
      <w:r>
        <w:rPr>
          <w:rFonts w:ascii="Times New Roman" w:hAnsi="Times New Roman" w:cs="Times New Roman"/>
          <w:sz w:val="24"/>
        </w:rPr>
        <w:t xml:space="preserve"> </w:t>
      </w:r>
      <w:r w:rsidR="004A221D">
        <w:rPr>
          <w:rFonts w:ascii="Times New Roman" w:hAnsi="Times New Roman" w:cs="Times New Roman"/>
          <w:sz w:val="24"/>
        </w:rPr>
        <w:t>Refunds</w:t>
      </w:r>
    </w:p>
    <w:p w:rsidR="002550F0" w:rsidRDefault="002550F0" w:rsidP="002550F0">
      <w:pPr>
        <w:spacing w:after="0"/>
        <w:rPr>
          <w:rFonts w:ascii="Times New Roman" w:hAnsi="Times New Roman" w:cs="Times New Roman"/>
          <w:sz w:val="24"/>
        </w:rPr>
      </w:pPr>
    </w:p>
    <w:p w:rsidR="002550F0" w:rsidRDefault="002A3A54" w:rsidP="002550F0">
      <w:pPr>
        <w:spacing w:after="0"/>
        <w:jc w:val="both"/>
        <w:rPr>
          <w:rFonts w:ascii="Times New Roman" w:hAnsi="Times New Roman" w:cs="Times New Roman"/>
          <w:sz w:val="24"/>
        </w:rPr>
      </w:pPr>
      <w:r w:rsidRPr="008567FE">
        <w:rPr>
          <w:rFonts w:ascii="Times New Roman" w:hAnsi="Times New Roman" w:cs="Times New Roman"/>
          <w:sz w:val="24"/>
        </w:rPr>
        <w:t xml:space="preserve">This adjustment </w:t>
      </w:r>
      <w:r>
        <w:rPr>
          <w:rFonts w:ascii="Times New Roman" w:hAnsi="Times New Roman" w:cs="Times New Roman"/>
          <w:sz w:val="24"/>
        </w:rPr>
        <w:t xml:space="preserve">normalizes the </w:t>
      </w:r>
      <w:r w:rsidR="00D80554">
        <w:rPr>
          <w:rFonts w:ascii="Times New Roman" w:hAnsi="Times New Roman" w:cs="Times New Roman"/>
          <w:sz w:val="24"/>
        </w:rPr>
        <w:t xml:space="preserve">proposed </w:t>
      </w:r>
      <w:r>
        <w:rPr>
          <w:rFonts w:ascii="Times New Roman" w:hAnsi="Times New Roman" w:cs="Times New Roman"/>
          <w:sz w:val="24"/>
        </w:rPr>
        <w:t xml:space="preserve">amortization expense of </w:t>
      </w:r>
      <w:r w:rsidR="00D80554">
        <w:rPr>
          <w:rFonts w:ascii="Times New Roman" w:hAnsi="Times New Roman" w:cs="Times New Roman"/>
          <w:sz w:val="24"/>
        </w:rPr>
        <w:t>the deferred refund of revenues resulting from the reduction in Georgia state income tax rate</w:t>
      </w:r>
      <w:r w:rsidR="00A66682">
        <w:rPr>
          <w:rFonts w:ascii="Times New Roman" w:hAnsi="Times New Roman" w:cs="Times New Roman"/>
          <w:sz w:val="24"/>
        </w:rPr>
        <w:t xml:space="preserve"> for the test period</w:t>
      </w:r>
      <w:r w:rsidR="00D80554">
        <w:rPr>
          <w:rFonts w:ascii="Times New Roman" w:hAnsi="Times New Roman" w:cs="Times New Roman"/>
          <w:sz w:val="24"/>
        </w:rPr>
        <w:t xml:space="preserve">.  </w:t>
      </w:r>
      <w:r w:rsidR="002550F0">
        <w:rPr>
          <w:rFonts w:ascii="Times New Roman" w:hAnsi="Times New Roman" w:cs="Times New Roman"/>
          <w:sz w:val="24"/>
        </w:rPr>
        <w:t xml:space="preserve"> </w:t>
      </w:r>
    </w:p>
    <w:p w:rsidR="002550F0" w:rsidRDefault="002550F0" w:rsidP="002550F0">
      <w:pPr>
        <w:spacing w:after="0"/>
        <w:rPr>
          <w:rFonts w:ascii="Times New Roman" w:hAnsi="Times New Roman" w:cs="Times New Roman"/>
          <w:sz w:val="24"/>
          <w:u w:val="single"/>
        </w:rPr>
      </w:pPr>
    </w:p>
    <w:p w:rsidR="002550F0" w:rsidRDefault="002550F0" w:rsidP="002550F0">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Pr>
          <w:rFonts w:ascii="Times New Roman" w:hAnsi="Times New Roman" w:cs="Times New Roman"/>
          <w:sz w:val="24"/>
          <w:u w:val="single"/>
        </w:rPr>
        <w:t>BL</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2A3A54">
        <w:rPr>
          <w:rFonts w:ascii="Times New Roman" w:hAnsi="Times New Roman" w:cs="Times New Roman"/>
          <w:sz w:val="24"/>
          <w:u w:val="single"/>
        </w:rPr>
        <w:t>9,420</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2A3A54">
        <w:rPr>
          <w:rFonts w:ascii="Times New Roman" w:hAnsi="Times New Roman" w:cs="Times New Roman"/>
          <w:sz w:val="24"/>
        </w:rPr>
        <w:t>Amortization of Retired Units’ NBV</w:t>
      </w:r>
      <w:r>
        <w:rPr>
          <w:rFonts w:ascii="Times New Roman" w:hAnsi="Times New Roman" w:cs="Times New Roman"/>
          <w:sz w:val="24"/>
        </w:rPr>
        <w:t xml:space="preserve"> </w:t>
      </w:r>
    </w:p>
    <w:p w:rsidR="002550F0" w:rsidRDefault="002550F0" w:rsidP="002550F0">
      <w:pPr>
        <w:spacing w:after="0"/>
        <w:rPr>
          <w:rFonts w:ascii="Times New Roman" w:hAnsi="Times New Roman" w:cs="Times New Roman"/>
          <w:sz w:val="24"/>
        </w:rPr>
      </w:pPr>
    </w:p>
    <w:p w:rsidR="002550F0" w:rsidRDefault="002A3A54" w:rsidP="002550F0">
      <w:pPr>
        <w:spacing w:after="0"/>
        <w:jc w:val="both"/>
        <w:rPr>
          <w:rFonts w:ascii="Times New Roman" w:hAnsi="Times New Roman" w:cs="Times New Roman"/>
          <w:sz w:val="24"/>
        </w:rPr>
      </w:pPr>
      <w:r w:rsidRPr="008567FE">
        <w:rPr>
          <w:rFonts w:ascii="Times New Roman" w:hAnsi="Times New Roman" w:cs="Times New Roman"/>
          <w:sz w:val="24"/>
        </w:rPr>
        <w:t xml:space="preserve">This adjustment </w:t>
      </w:r>
      <w:r>
        <w:rPr>
          <w:rFonts w:ascii="Times New Roman" w:hAnsi="Times New Roman" w:cs="Times New Roman"/>
          <w:sz w:val="24"/>
        </w:rPr>
        <w:t xml:space="preserve">normalizes the </w:t>
      </w:r>
      <w:r w:rsidR="00D80554">
        <w:rPr>
          <w:rFonts w:ascii="Times New Roman" w:hAnsi="Times New Roman" w:cs="Times New Roman"/>
          <w:sz w:val="24"/>
        </w:rPr>
        <w:t xml:space="preserve">proposed </w:t>
      </w:r>
      <w:r>
        <w:rPr>
          <w:rFonts w:ascii="Times New Roman" w:hAnsi="Times New Roman" w:cs="Times New Roman"/>
          <w:sz w:val="24"/>
        </w:rPr>
        <w:t xml:space="preserve">amortization expense of </w:t>
      </w:r>
      <w:r w:rsidR="00D80554">
        <w:rPr>
          <w:rFonts w:ascii="Times New Roman" w:hAnsi="Times New Roman" w:cs="Times New Roman"/>
          <w:sz w:val="24"/>
        </w:rPr>
        <w:t xml:space="preserve">remaining net book value of </w:t>
      </w:r>
      <w:r>
        <w:rPr>
          <w:rFonts w:ascii="Times New Roman" w:hAnsi="Times New Roman" w:cs="Times New Roman"/>
          <w:sz w:val="24"/>
        </w:rPr>
        <w:t>previously decertified units in Docket No. 34218, 36498, and 40161 and the proposed decertification of units in Docket No. 42310</w:t>
      </w:r>
      <w:r w:rsidR="00D80554">
        <w:rPr>
          <w:rFonts w:ascii="Times New Roman" w:hAnsi="Times New Roman" w:cs="Times New Roman"/>
          <w:sz w:val="24"/>
        </w:rPr>
        <w:t xml:space="preserve"> for the test period</w:t>
      </w:r>
      <w:r>
        <w:rPr>
          <w:rFonts w:ascii="Times New Roman" w:hAnsi="Times New Roman" w:cs="Times New Roman"/>
          <w:sz w:val="24"/>
        </w:rPr>
        <w:t xml:space="preserve">.    </w:t>
      </w:r>
      <w:r w:rsidR="002550F0">
        <w:rPr>
          <w:rFonts w:ascii="Times New Roman" w:hAnsi="Times New Roman" w:cs="Times New Roman"/>
          <w:sz w:val="24"/>
        </w:rPr>
        <w:t xml:space="preserve">  </w:t>
      </w:r>
    </w:p>
    <w:p w:rsidR="002550F0" w:rsidRDefault="002550F0" w:rsidP="002550F0">
      <w:pPr>
        <w:spacing w:after="0"/>
        <w:rPr>
          <w:rFonts w:ascii="Times New Roman" w:hAnsi="Times New Roman" w:cs="Times New Roman"/>
          <w:sz w:val="24"/>
          <w:u w:val="single"/>
        </w:rPr>
      </w:pPr>
    </w:p>
    <w:p w:rsidR="002550F0" w:rsidRDefault="002550F0" w:rsidP="002550F0">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Pr>
          <w:rFonts w:ascii="Times New Roman" w:hAnsi="Times New Roman" w:cs="Times New Roman"/>
          <w:sz w:val="24"/>
          <w:u w:val="single"/>
        </w:rPr>
        <w:t>BM</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2A3A54">
        <w:rPr>
          <w:rFonts w:ascii="Times New Roman" w:hAnsi="Times New Roman" w:cs="Times New Roman"/>
          <w:sz w:val="24"/>
          <w:u w:val="single"/>
        </w:rPr>
        <w:t>6,776</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2A3A54">
        <w:rPr>
          <w:rFonts w:ascii="Times New Roman" w:hAnsi="Times New Roman" w:cs="Times New Roman"/>
          <w:sz w:val="24"/>
        </w:rPr>
        <w:t>Amortization of Future Nuclear</w:t>
      </w:r>
      <w:r>
        <w:rPr>
          <w:rFonts w:ascii="Times New Roman" w:hAnsi="Times New Roman" w:cs="Times New Roman"/>
          <w:sz w:val="24"/>
        </w:rPr>
        <w:t xml:space="preserve"> </w:t>
      </w:r>
    </w:p>
    <w:p w:rsidR="002550F0" w:rsidRDefault="002550F0" w:rsidP="002550F0">
      <w:pPr>
        <w:spacing w:after="0"/>
        <w:rPr>
          <w:rFonts w:ascii="Times New Roman" w:hAnsi="Times New Roman" w:cs="Times New Roman"/>
          <w:sz w:val="24"/>
        </w:rPr>
      </w:pPr>
    </w:p>
    <w:p w:rsidR="002A3A54" w:rsidRDefault="002A3A54" w:rsidP="002A3A54">
      <w:pPr>
        <w:spacing w:after="0"/>
        <w:jc w:val="both"/>
        <w:rPr>
          <w:rFonts w:ascii="Times New Roman" w:hAnsi="Times New Roman" w:cs="Times New Roman"/>
          <w:sz w:val="24"/>
        </w:rPr>
      </w:pPr>
      <w:r w:rsidRPr="008567FE">
        <w:rPr>
          <w:rFonts w:ascii="Times New Roman" w:hAnsi="Times New Roman" w:cs="Times New Roman"/>
          <w:sz w:val="24"/>
        </w:rPr>
        <w:t xml:space="preserve">This adjustment </w:t>
      </w:r>
      <w:r>
        <w:rPr>
          <w:rFonts w:ascii="Times New Roman" w:hAnsi="Times New Roman" w:cs="Times New Roman"/>
          <w:sz w:val="24"/>
        </w:rPr>
        <w:t xml:space="preserve">normalizes the </w:t>
      </w:r>
      <w:r w:rsidR="00D80554">
        <w:rPr>
          <w:rFonts w:ascii="Times New Roman" w:hAnsi="Times New Roman" w:cs="Times New Roman"/>
          <w:sz w:val="24"/>
        </w:rPr>
        <w:t xml:space="preserve">proposed </w:t>
      </w:r>
      <w:r>
        <w:rPr>
          <w:rFonts w:ascii="Times New Roman" w:hAnsi="Times New Roman" w:cs="Times New Roman"/>
          <w:sz w:val="24"/>
        </w:rPr>
        <w:t xml:space="preserve">amortization expense of the deferred costs approved by the Commission to investigate the option of pursuing new nuclear generation in Stewart County, Georgia for the test period.  </w:t>
      </w:r>
    </w:p>
    <w:p w:rsidR="000A4FB2" w:rsidRDefault="000A4FB2" w:rsidP="00362DBE">
      <w:pPr>
        <w:spacing w:after="0"/>
        <w:rPr>
          <w:rFonts w:ascii="Times New Roman" w:hAnsi="Times New Roman" w:cs="Times New Roman"/>
          <w:sz w:val="24"/>
          <w:u w:val="single"/>
        </w:rPr>
      </w:pPr>
    </w:p>
    <w:p w:rsidR="002A3A54" w:rsidRDefault="002A3A54">
      <w:pPr>
        <w:rPr>
          <w:rFonts w:ascii="Times New Roman" w:hAnsi="Times New Roman" w:cs="Times New Roman"/>
          <w:sz w:val="24"/>
          <w:u w:val="single"/>
        </w:rPr>
      </w:pPr>
      <w:r>
        <w:rPr>
          <w:rFonts w:ascii="Times New Roman" w:hAnsi="Times New Roman" w:cs="Times New Roman"/>
          <w:sz w:val="24"/>
          <w:u w:val="single"/>
        </w:rPr>
        <w:br w:type="page"/>
      </w:r>
    </w:p>
    <w:p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lastRenderedPageBreak/>
        <w:t xml:space="preserve">FOOTNOTE </w:t>
      </w:r>
      <w:r w:rsidR="000A4FB2">
        <w:rPr>
          <w:rFonts w:ascii="Times New Roman" w:hAnsi="Times New Roman" w:cs="Times New Roman"/>
          <w:sz w:val="24"/>
          <w:u w:val="single"/>
        </w:rPr>
        <w:t>BN</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0A4FB2">
        <w:rPr>
          <w:rFonts w:ascii="Times New Roman" w:hAnsi="Times New Roman" w:cs="Times New Roman"/>
          <w:sz w:val="24"/>
          <w:u w:val="single"/>
        </w:rPr>
        <w:t>191,046</w:t>
      </w:r>
      <w:r w:rsidRPr="00362DB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r>
      <w:r w:rsidR="004801CB">
        <w:rPr>
          <w:rFonts w:ascii="Times New Roman" w:hAnsi="Times New Roman" w:cs="Times New Roman"/>
          <w:sz w:val="24"/>
        </w:rPr>
        <w:t>Taxes Other Than Income Taxes</w:t>
      </w:r>
      <w:r>
        <w:rPr>
          <w:rFonts w:ascii="Times New Roman" w:hAnsi="Times New Roman" w:cs="Times New Roman"/>
          <w:sz w:val="24"/>
        </w:rPr>
        <w:t xml:space="preserve"> </w:t>
      </w:r>
    </w:p>
    <w:p w:rsidR="00362DBE" w:rsidRDefault="00362DBE" w:rsidP="00362DBE">
      <w:pPr>
        <w:spacing w:after="0"/>
        <w:rPr>
          <w:rFonts w:ascii="Times New Roman" w:hAnsi="Times New Roman" w:cs="Times New Roman"/>
          <w:sz w:val="24"/>
        </w:rPr>
      </w:pPr>
    </w:p>
    <w:p w:rsidR="00362DBE" w:rsidRDefault="004801CB" w:rsidP="00362DBE">
      <w:pPr>
        <w:spacing w:after="0"/>
        <w:jc w:val="both"/>
        <w:rPr>
          <w:rFonts w:ascii="Times New Roman" w:hAnsi="Times New Roman" w:cs="Times New Roman"/>
          <w:sz w:val="24"/>
        </w:rPr>
      </w:pPr>
      <w:r>
        <w:rPr>
          <w:rFonts w:ascii="Times New Roman" w:hAnsi="Times New Roman" w:cs="Times New Roman"/>
          <w:sz w:val="24"/>
        </w:rPr>
        <w:t xml:space="preserve">This adjustment removes </w:t>
      </w:r>
      <w:r w:rsidR="002A3A54">
        <w:rPr>
          <w:rFonts w:ascii="Times New Roman" w:hAnsi="Times New Roman" w:cs="Times New Roman"/>
          <w:sz w:val="24"/>
        </w:rPr>
        <w:t>property, payroll, and municipal franchise taxes associated with unregulated outdoor lighting and removes t</w:t>
      </w:r>
      <w:r w:rsidR="00D80554">
        <w:rPr>
          <w:rFonts w:ascii="Times New Roman" w:hAnsi="Times New Roman" w:cs="Times New Roman"/>
          <w:sz w:val="24"/>
        </w:rPr>
        <w:t>otal</w:t>
      </w:r>
      <w:r w:rsidR="002A3A54">
        <w:rPr>
          <w:rFonts w:ascii="Times New Roman" w:hAnsi="Times New Roman" w:cs="Times New Roman"/>
          <w:sz w:val="24"/>
        </w:rPr>
        <w:t xml:space="preserve"> municipal franchise fees from the test period.  </w:t>
      </w:r>
    </w:p>
    <w:p w:rsidR="000A4FB2" w:rsidRDefault="000A4FB2" w:rsidP="00362DBE">
      <w:pPr>
        <w:spacing w:after="0"/>
        <w:rPr>
          <w:rFonts w:ascii="Times New Roman" w:hAnsi="Times New Roman" w:cs="Times New Roman"/>
          <w:sz w:val="24"/>
          <w:u w:val="single"/>
        </w:rPr>
      </w:pPr>
    </w:p>
    <w:p w:rsidR="002A3A54" w:rsidRDefault="002A3A54" w:rsidP="002A3A54">
      <w:pPr>
        <w:spacing w:after="0"/>
        <w:jc w:val="center"/>
        <w:rPr>
          <w:rFonts w:ascii="Times New Roman" w:hAnsi="Times New Roman" w:cs="Times New Roman"/>
          <w:sz w:val="24"/>
          <w:u w:val="single"/>
        </w:rPr>
      </w:pPr>
      <w:r w:rsidRPr="002A3A54">
        <w:rPr>
          <w:noProof/>
        </w:rPr>
        <w:drawing>
          <wp:inline distT="0" distB="0" distL="0" distR="0">
            <wp:extent cx="2941320" cy="10363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1320" cy="1036320"/>
                    </a:xfrm>
                    <a:prstGeom prst="rect">
                      <a:avLst/>
                    </a:prstGeom>
                    <a:noFill/>
                    <a:ln>
                      <a:noFill/>
                    </a:ln>
                  </pic:spPr>
                </pic:pic>
              </a:graphicData>
            </a:graphic>
          </wp:inline>
        </w:drawing>
      </w:r>
    </w:p>
    <w:p w:rsidR="002A3A54" w:rsidRDefault="002A3A54" w:rsidP="00362DBE">
      <w:pPr>
        <w:spacing w:after="0"/>
        <w:rPr>
          <w:rFonts w:ascii="Times New Roman" w:hAnsi="Times New Roman" w:cs="Times New Roman"/>
          <w:sz w:val="24"/>
          <w:u w:val="single"/>
        </w:rPr>
      </w:pPr>
    </w:p>
    <w:p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0A4FB2">
        <w:rPr>
          <w:rFonts w:ascii="Times New Roman" w:hAnsi="Times New Roman" w:cs="Times New Roman"/>
          <w:sz w:val="24"/>
          <w:u w:val="single"/>
        </w:rPr>
        <w:t>BO</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0A4FB2">
        <w:rPr>
          <w:rFonts w:ascii="Times New Roman" w:hAnsi="Times New Roman" w:cs="Times New Roman"/>
          <w:sz w:val="24"/>
          <w:u w:val="single"/>
        </w:rPr>
        <w:t>176,930</w:t>
      </w:r>
      <w:r w:rsidRPr="00362DB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r>
      <w:r w:rsidR="00D27AC1">
        <w:rPr>
          <w:rFonts w:ascii="Times New Roman" w:hAnsi="Times New Roman" w:cs="Times New Roman"/>
          <w:sz w:val="24"/>
        </w:rPr>
        <w:t xml:space="preserve">Current </w:t>
      </w:r>
      <w:r w:rsidR="004801CB">
        <w:rPr>
          <w:rFonts w:ascii="Times New Roman" w:hAnsi="Times New Roman" w:cs="Times New Roman"/>
          <w:sz w:val="24"/>
        </w:rPr>
        <w:t xml:space="preserve">Income Taxes Payable </w:t>
      </w:r>
    </w:p>
    <w:p w:rsidR="00362DBE" w:rsidRDefault="00362DBE" w:rsidP="00362DBE">
      <w:pPr>
        <w:spacing w:after="0"/>
        <w:rPr>
          <w:rFonts w:ascii="Times New Roman" w:hAnsi="Times New Roman" w:cs="Times New Roman"/>
          <w:sz w:val="24"/>
        </w:rPr>
      </w:pPr>
    </w:p>
    <w:p w:rsidR="00362DBE" w:rsidRDefault="004801CB" w:rsidP="00DA4042">
      <w:pPr>
        <w:spacing w:after="0"/>
        <w:jc w:val="both"/>
        <w:rPr>
          <w:rFonts w:ascii="Times New Roman" w:hAnsi="Times New Roman" w:cs="Times New Roman"/>
          <w:sz w:val="24"/>
        </w:rPr>
      </w:pPr>
      <w:r>
        <w:rPr>
          <w:rFonts w:ascii="Times New Roman" w:hAnsi="Times New Roman" w:cs="Times New Roman"/>
          <w:sz w:val="24"/>
        </w:rPr>
        <w:t xml:space="preserve">This adjustment results from the treatment of items referenced in FOOTNOTES </w:t>
      </w:r>
      <w:r w:rsidR="008E5D18">
        <w:rPr>
          <w:rFonts w:ascii="Times New Roman" w:hAnsi="Times New Roman" w:cs="Times New Roman"/>
          <w:sz w:val="24"/>
        </w:rPr>
        <w:t>BE</w:t>
      </w:r>
      <w:r>
        <w:rPr>
          <w:rFonts w:ascii="Times New Roman" w:hAnsi="Times New Roman" w:cs="Times New Roman"/>
          <w:sz w:val="24"/>
        </w:rPr>
        <w:t xml:space="preserve">/ through </w:t>
      </w:r>
      <w:r w:rsidR="008E5D18">
        <w:rPr>
          <w:rFonts w:ascii="Times New Roman" w:hAnsi="Times New Roman" w:cs="Times New Roman"/>
          <w:sz w:val="24"/>
        </w:rPr>
        <w:t>B</w:t>
      </w:r>
      <w:r w:rsidR="00D27AC1">
        <w:rPr>
          <w:rFonts w:ascii="Times New Roman" w:hAnsi="Times New Roman" w:cs="Times New Roman"/>
          <w:sz w:val="24"/>
        </w:rPr>
        <w:t>N</w:t>
      </w:r>
      <w:r>
        <w:rPr>
          <w:rFonts w:ascii="Times New Roman" w:hAnsi="Times New Roman" w:cs="Times New Roman"/>
          <w:sz w:val="24"/>
        </w:rPr>
        <w:t xml:space="preserve">/ and the interest synchronization adjustment.   </w:t>
      </w:r>
    </w:p>
    <w:p w:rsidR="00362DBE" w:rsidRDefault="00362DBE" w:rsidP="00DA4042">
      <w:pPr>
        <w:spacing w:after="0"/>
        <w:jc w:val="both"/>
        <w:rPr>
          <w:rFonts w:ascii="Times New Roman" w:hAnsi="Times New Roman" w:cs="Times New Roman"/>
          <w:sz w:val="24"/>
        </w:rPr>
      </w:pPr>
    </w:p>
    <w:p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0A4FB2">
        <w:rPr>
          <w:rFonts w:ascii="Times New Roman" w:hAnsi="Times New Roman" w:cs="Times New Roman"/>
          <w:sz w:val="24"/>
          <w:u w:val="single"/>
        </w:rPr>
        <w:t>BP</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0A4FB2">
        <w:rPr>
          <w:rFonts w:ascii="Times New Roman" w:hAnsi="Times New Roman" w:cs="Times New Roman"/>
          <w:sz w:val="24"/>
          <w:u w:val="single"/>
        </w:rPr>
        <w:t>65,525</w:t>
      </w:r>
      <w:r w:rsidRPr="00362DB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r>
      <w:r w:rsidR="004801CB">
        <w:rPr>
          <w:rFonts w:ascii="Times New Roman" w:hAnsi="Times New Roman" w:cs="Times New Roman"/>
          <w:sz w:val="24"/>
        </w:rPr>
        <w:t>Deferred Income Taxes</w:t>
      </w:r>
      <w:r>
        <w:rPr>
          <w:rFonts w:ascii="Times New Roman" w:hAnsi="Times New Roman" w:cs="Times New Roman"/>
          <w:sz w:val="24"/>
        </w:rPr>
        <w:t xml:space="preserve"> </w:t>
      </w:r>
    </w:p>
    <w:p w:rsidR="00362DBE" w:rsidRDefault="00362DBE" w:rsidP="00362DBE">
      <w:pPr>
        <w:spacing w:after="0"/>
        <w:rPr>
          <w:rFonts w:ascii="Times New Roman" w:hAnsi="Times New Roman" w:cs="Times New Roman"/>
          <w:sz w:val="24"/>
        </w:rPr>
      </w:pPr>
    </w:p>
    <w:p w:rsidR="000A4FB2" w:rsidRPr="008E5D18" w:rsidRDefault="00362DBE" w:rsidP="008E5D18">
      <w:pPr>
        <w:spacing w:after="0"/>
        <w:jc w:val="both"/>
        <w:rPr>
          <w:rFonts w:ascii="Times New Roman" w:hAnsi="Times New Roman" w:cs="Times New Roman"/>
          <w:sz w:val="24"/>
        </w:rPr>
      </w:pPr>
      <w:r>
        <w:rPr>
          <w:rFonts w:ascii="Times New Roman" w:hAnsi="Times New Roman" w:cs="Times New Roman"/>
          <w:sz w:val="24"/>
        </w:rPr>
        <w:t xml:space="preserve">This adjustment </w:t>
      </w:r>
      <w:r w:rsidR="004801CB">
        <w:rPr>
          <w:rFonts w:ascii="Times New Roman" w:hAnsi="Times New Roman" w:cs="Times New Roman"/>
          <w:sz w:val="24"/>
        </w:rPr>
        <w:t xml:space="preserve">results from the treatment of items referenced in FOOTNOTES </w:t>
      </w:r>
      <w:r w:rsidR="008E5D18">
        <w:rPr>
          <w:rFonts w:ascii="Times New Roman" w:hAnsi="Times New Roman" w:cs="Times New Roman"/>
          <w:sz w:val="24"/>
        </w:rPr>
        <w:t>BE</w:t>
      </w:r>
      <w:r w:rsidR="004801CB">
        <w:rPr>
          <w:rFonts w:ascii="Times New Roman" w:hAnsi="Times New Roman" w:cs="Times New Roman"/>
          <w:sz w:val="24"/>
        </w:rPr>
        <w:t xml:space="preserve">/ through </w:t>
      </w:r>
      <w:r w:rsidR="008E5D18">
        <w:rPr>
          <w:rFonts w:ascii="Times New Roman" w:hAnsi="Times New Roman" w:cs="Times New Roman"/>
          <w:sz w:val="24"/>
        </w:rPr>
        <w:t>B</w:t>
      </w:r>
      <w:r w:rsidR="00D27AC1">
        <w:rPr>
          <w:rFonts w:ascii="Times New Roman" w:hAnsi="Times New Roman" w:cs="Times New Roman"/>
          <w:sz w:val="24"/>
        </w:rPr>
        <w:t>N</w:t>
      </w:r>
      <w:r w:rsidR="004801CB">
        <w:rPr>
          <w:rFonts w:ascii="Times New Roman" w:hAnsi="Times New Roman" w:cs="Times New Roman"/>
          <w:sz w:val="24"/>
        </w:rPr>
        <w:t>/</w:t>
      </w:r>
      <w:r w:rsidR="00D27AC1">
        <w:rPr>
          <w:rFonts w:ascii="Times New Roman" w:hAnsi="Times New Roman" w:cs="Times New Roman"/>
          <w:sz w:val="24"/>
        </w:rPr>
        <w:t xml:space="preserve"> and normalizes the </w:t>
      </w:r>
      <w:r w:rsidR="00D80554">
        <w:rPr>
          <w:rFonts w:ascii="Times New Roman" w:hAnsi="Times New Roman" w:cs="Times New Roman"/>
          <w:sz w:val="24"/>
        </w:rPr>
        <w:t>amortization of protected and unprotected excess ADITs for the test period</w:t>
      </w:r>
      <w:r w:rsidR="004801CB">
        <w:rPr>
          <w:rFonts w:ascii="Times New Roman" w:hAnsi="Times New Roman" w:cs="Times New Roman"/>
          <w:sz w:val="24"/>
        </w:rPr>
        <w:t xml:space="preserve">.  </w:t>
      </w:r>
      <w:r>
        <w:rPr>
          <w:rFonts w:ascii="Times New Roman" w:hAnsi="Times New Roman" w:cs="Times New Roman"/>
          <w:sz w:val="24"/>
        </w:rPr>
        <w:t xml:space="preserve"> </w:t>
      </w:r>
    </w:p>
    <w:p w:rsidR="000A4FB2" w:rsidRDefault="000A4FB2" w:rsidP="00362DBE">
      <w:pPr>
        <w:spacing w:after="0"/>
        <w:rPr>
          <w:rFonts w:ascii="Times New Roman" w:hAnsi="Times New Roman" w:cs="Times New Roman"/>
          <w:sz w:val="24"/>
          <w:u w:val="single"/>
        </w:rPr>
      </w:pPr>
    </w:p>
    <w:p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0A4FB2">
        <w:rPr>
          <w:rFonts w:ascii="Times New Roman" w:hAnsi="Times New Roman" w:cs="Times New Roman"/>
          <w:sz w:val="24"/>
          <w:u w:val="single"/>
        </w:rPr>
        <w:t>BQ</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0A4FB2">
        <w:rPr>
          <w:rFonts w:ascii="Times New Roman" w:hAnsi="Times New Roman" w:cs="Times New Roman"/>
          <w:sz w:val="24"/>
          <w:u w:val="single"/>
        </w:rPr>
        <w:t>665,592</w:t>
      </w:r>
      <w:r w:rsidRPr="00362DB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r>
      <w:r w:rsidR="004801CB">
        <w:rPr>
          <w:rFonts w:ascii="Times New Roman" w:hAnsi="Times New Roman" w:cs="Times New Roman"/>
          <w:sz w:val="24"/>
        </w:rPr>
        <w:t>Electric Plant-in-Service</w:t>
      </w:r>
      <w:r>
        <w:rPr>
          <w:rFonts w:ascii="Times New Roman" w:hAnsi="Times New Roman" w:cs="Times New Roman"/>
          <w:sz w:val="24"/>
        </w:rPr>
        <w:t xml:space="preserve"> </w:t>
      </w:r>
    </w:p>
    <w:p w:rsidR="00362DBE" w:rsidRDefault="00362DBE" w:rsidP="00362DBE">
      <w:pPr>
        <w:spacing w:after="0"/>
        <w:rPr>
          <w:rFonts w:ascii="Times New Roman" w:hAnsi="Times New Roman" w:cs="Times New Roman"/>
          <w:sz w:val="24"/>
        </w:rPr>
      </w:pPr>
    </w:p>
    <w:p w:rsidR="00362DBE" w:rsidRDefault="00D27AC1" w:rsidP="00DA4042">
      <w:pPr>
        <w:spacing w:after="0"/>
        <w:jc w:val="both"/>
        <w:rPr>
          <w:rFonts w:ascii="Times New Roman" w:hAnsi="Times New Roman" w:cs="Times New Roman"/>
          <w:sz w:val="24"/>
        </w:rPr>
      </w:pPr>
      <w:r>
        <w:rPr>
          <w:rFonts w:ascii="Times New Roman" w:hAnsi="Times New Roman" w:cs="Times New Roman"/>
          <w:sz w:val="24"/>
        </w:rPr>
        <w:t xml:space="preserve">This adjustment reflects treatment of the corporate headquarters as an operating lease; removes the investment associated with unregulated outdoor lighting; and removes the closures associated with Plant Vogtle Units 3 and 4 </w:t>
      </w:r>
      <w:r w:rsidR="00B436D3">
        <w:rPr>
          <w:rFonts w:ascii="Times New Roman" w:hAnsi="Times New Roman" w:cs="Times New Roman"/>
          <w:sz w:val="24"/>
        </w:rPr>
        <w:t xml:space="preserve">whose carrying cost is </w:t>
      </w:r>
      <w:r>
        <w:rPr>
          <w:rFonts w:ascii="Times New Roman" w:hAnsi="Times New Roman" w:cs="Times New Roman"/>
          <w:sz w:val="24"/>
        </w:rPr>
        <w:t xml:space="preserve">recovered through the NCCR tariff.  </w:t>
      </w:r>
    </w:p>
    <w:p w:rsidR="002B2EC9" w:rsidRDefault="002B2EC9" w:rsidP="00DA4042">
      <w:pPr>
        <w:spacing w:after="0"/>
        <w:jc w:val="both"/>
        <w:rPr>
          <w:rFonts w:ascii="Times New Roman" w:hAnsi="Times New Roman" w:cs="Times New Roman"/>
          <w:sz w:val="24"/>
        </w:rPr>
      </w:pPr>
    </w:p>
    <w:p w:rsidR="002B2EC9" w:rsidRDefault="00D27AC1" w:rsidP="002B2EC9">
      <w:pPr>
        <w:spacing w:after="0"/>
        <w:jc w:val="center"/>
        <w:rPr>
          <w:rFonts w:ascii="Times New Roman" w:hAnsi="Times New Roman" w:cs="Times New Roman"/>
          <w:sz w:val="24"/>
        </w:rPr>
      </w:pPr>
      <w:r w:rsidRPr="00D27AC1">
        <w:rPr>
          <w:noProof/>
        </w:rPr>
        <w:drawing>
          <wp:inline distT="0" distB="0" distL="0" distR="0">
            <wp:extent cx="3474720" cy="12420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74720" cy="1242060"/>
                    </a:xfrm>
                    <a:prstGeom prst="rect">
                      <a:avLst/>
                    </a:prstGeom>
                    <a:noFill/>
                    <a:ln>
                      <a:noFill/>
                    </a:ln>
                  </pic:spPr>
                </pic:pic>
              </a:graphicData>
            </a:graphic>
          </wp:inline>
        </w:drawing>
      </w:r>
    </w:p>
    <w:p w:rsidR="00362DBE" w:rsidRDefault="00362DBE" w:rsidP="00DA4042">
      <w:pPr>
        <w:spacing w:after="0"/>
        <w:jc w:val="both"/>
        <w:rPr>
          <w:rFonts w:ascii="Times New Roman" w:hAnsi="Times New Roman" w:cs="Times New Roman"/>
          <w:sz w:val="24"/>
        </w:rPr>
      </w:pPr>
    </w:p>
    <w:p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0A4FB2">
        <w:rPr>
          <w:rFonts w:ascii="Times New Roman" w:hAnsi="Times New Roman" w:cs="Times New Roman"/>
          <w:sz w:val="24"/>
          <w:u w:val="single"/>
        </w:rPr>
        <w:t>BR</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0A4FB2">
        <w:rPr>
          <w:rFonts w:ascii="Times New Roman" w:hAnsi="Times New Roman" w:cs="Times New Roman"/>
          <w:sz w:val="24"/>
          <w:u w:val="single"/>
        </w:rPr>
        <w:t>66,240</w:t>
      </w:r>
      <w:r w:rsidRPr="00362DB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r>
      <w:r w:rsidR="004801CB">
        <w:rPr>
          <w:rFonts w:ascii="Times New Roman" w:hAnsi="Times New Roman" w:cs="Times New Roman"/>
          <w:sz w:val="24"/>
        </w:rPr>
        <w:t>Nuclear Fuel</w:t>
      </w:r>
      <w:r>
        <w:rPr>
          <w:rFonts w:ascii="Times New Roman" w:hAnsi="Times New Roman" w:cs="Times New Roman"/>
          <w:sz w:val="24"/>
        </w:rPr>
        <w:t xml:space="preserve"> </w:t>
      </w:r>
    </w:p>
    <w:p w:rsidR="00362DBE" w:rsidRDefault="00362DBE" w:rsidP="00362DBE">
      <w:pPr>
        <w:spacing w:after="0"/>
        <w:rPr>
          <w:rFonts w:ascii="Times New Roman" w:hAnsi="Times New Roman" w:cs="Times New Roman"/>
          <w:sz w:val="24"/>
        </w:rPr>
      </w:pPr>
    </w:p>
    <w:p w:rsidR="00664FEE" w:rsidRPr="00D27AC1" w:rsidRDefault="00362DBE" w:rsidP="00D27AC1">
      <w:pPr>
        <w:spacing w:after="0"/>
        <w:jc w:val="both"/>
        <w:rPr>
          <w:rFonts w:ascii="Times New Roman" w:hAnsi="Times New Roman" w:cs="Times New Roman"/>
          <w:sz w:val="24"/>
        </w:rPr>
      </w:pPr>
      <w:r>
        <w:rPr>
          <w:rFonts w:ascii="Times New Roman" w:hAnsi="Times New Roman" w:cs="Times New Roman"/>
          <w:sz w:val="24"/>
        </w:rPr>
        <w:t xml:space="preserve">This adjustment </w:t>
      </w:r>
      <w:r w:rsidR="00D27AC1">
        <w:rPr>
          <w:rFonts w:ascii="Times New Roman" w:hAnsi="Times New Roman" w:cs="Times New Roman"/>
          <w:sz w:val="24"/>
        </w:rPr>
        <w:t>removes</w:t>
      </w:r>
      <w:r w:rsidR="004801CB">
        <w:rPr>
          <w:rFonts w:ascii="Times New Roman" w:hAnsi="Times New Roman" w:cs="Times New Roman"/>
          <w:sz w:val="24"/>
        </w:rPr>
        <w:t xml:space="preserve"> nuclear fuel associated with Plant Vogtle Units 3 and 4.  </w:t>
      </w:r>
    </w:p>
    <w:p w:rsidR="00664FEE" w:rsidRDefault="00664FEE" w:rsidP="00362DBE">
      <w:pPr>
        <w:spacing w:after="0"/>
        <w:rPr>
          <w:rFonts w:ascii="Times New Roman" w:hAnsi="Times New Roman" w:cs="Times New Roman"/>
          <w:sz w:val="24"/>
          <w:u w:val="single"/>
        </w:rPr>
      </w:pPr>
    </w:p>
    <w:p w:rsidR="00D27AC1" w:rsidRDefault="00D27AC1">
      <w:pPr>
        <w:rPr>
          <w:rFonts w:ascii="Times New Roman" w:hAnsi="Times New Roman" w:cs="Times New Roman"/>
          <w:sz w:val="24"/>
          <w:u w:val="single"/>
        </w:rPr>
      </w:pPr>
      <w:r>
        <w:rPr>
          <w:rFonts w:ascii="Times New Roman" w:hAnsi="Times New Roman" w:cs="Times New Roman"/>
          <w:sz w:val="24"/>
          <w:u w:val="single"/>
        </w:rPr>
        <w:br w:type="page"/>
      </w:r>
    </w:p>
    <w:p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lastRenderedPageBreak/>
        <w:t xml:space="preserve">FOOTNOTE </w:t>
      </w:r>
      <w:r w:rsidR="000A4FB2">
        <w:rPr>
          <w:rFonts w:ascii="Times New Roman" w:hAnsi="Times New Roman" w:cs="Times New Roman"/>
          <w:sz w:val="24"/>
          <w:u w:val="single"/>
        </w:rPr>
        <w:t>BS</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0A4FB2">
        <w:rPr>
          <w:rFonts w:ascii="Times New Roman" w:hAnsi="Times New Roman" w:cs="Times New Roman"/>
          <w:sz w:val="24"/>
          <w:u w:val="single"/>
        </w:rPr>
        <w:t>63,538</w:t>
      </w:r>
      <w:r w:rsidRPr="00362DB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r>
      <w:r w:rsidR="004801CB">
        <w:rPr>
          <w:rFonts w:ascii="Times New Roman" w:hAnsi="Times New Roman" w:cs="Times New Roman"/>
          <w:sz w:val="24"/>
        </w:rPr>
        <w:t xml:space="preserve">Accumulated Reserve for Depreciation </w:t>
      </w:r>
      <w:r>
        <w:rPr>
          <w:rFonts w:ascii="Times New Roman" w:hAnsi="Times New Roman" w:cs="Times New Roman"/>
          <w:sz w:val="24"/>
        </w:rPr>
        <w:t xml:space="preserve"> </w:t>
      </w:r>
    </w:p>
    <w:p w:rsidR="00362DBE" w:rsidRDefault="00362DBE" w:rsidP="00362DBE">
      <w:pPr>
        <w:spacing w:after="0"/>
        <w:rPr>
          <w:rFonts w:ascii="Times New Roman" w:hAnsi="Times New Roman" w:cs="Times New Roman"/>
          <w:sz w:val="24"/>
        </w:rPr>
      </w:pPr>
    </w:p>
    <w:p w:rsidR="00362DBE" w:rsidRDefault="00D27AC1" w:rsidP="00362DBE">
      <w:pPr>
        <w:spacing w:after="0"/>
        <w:jc w:val="both"/>
        <w:rPr>
          <w:rFonts w:ascii="Times New Roman" w:hAnsi="Times New Roman" w:cs="Times New Roman"/>
          <w:sz w:val="24"/>
        </w:rPr>
      </w:pPr>
      <w:r>
        <w:rPr>
          <w:rFonts w:ascii="Times New Roman" w:hAnsi="Times New Roman" w:cs="Times New Roman"/>
          <w:sz w:val="24"/>
        </w:rPr>
        <w:t xml:space="preserve">This adjustment reflects the removal of accumulated depreciation associated with unregulated outdoor lighting; removes the accumulated depreciation associated with closures of Plant Vogtle Units 3 and 4 </w:t>
      </w:r>
      <w:r w:rsidR="00BC56AF">
        <w:rPr>
          <w:rFonts w:ascii="Times New Roman" w:hAnsi="Times New Roman" w:cs="Times New Roman"/>
          <w:sz w:val="24"/>
        </w:rPr>
        <w:t>which are excluded from rates in accordance with the VCM 17 Order</w:t>
      </w:r>
      <w:r>
        <w:rPr>
          <w:rFonts w:ascii="Times New Roman" w:hAnsi="Times New Roman" w:cs="Times New Roman"/>
          <w:sz w:val="24"/>
        </w:rPr>
        <w:t xml:space="preserve">; and normalizes </w:t>
      </w:r>
      <w:r w:rsidR="00605227">
        <w:rPr>
          <w:rFonts w:ascii="Times New Roman" w:hAnsi="Times New Roman" w:cs="Times New Roman"/>
          <w:sz w:val="24"/>
        </w:rPr>
        <w:t>accumulated reserve for</w:t>
      </w:r>
      <w:r w:rsidR="00A66682">
        <w:rPr>
          <w:rFonts w:ascii="Times New Roman" w:hAnsi="Times New Roman" w:cs="Times New Roman"/>
          <w:sz w:val="24"/>
        </w:rPr>
        <w:t xml:space="preserve"> new</w:t>
      </w:r>
      <w:r w:rsidR="00605227">
        <w:rPr>
          <w:rFonts w:ascii="Times New Roman" w:hAnsi="Times New Roman" w:cs="Times New Roman"/>
          <w:sz w:val="24"/>
        </w:rPr>
        <w:t xml:space="preserve"> </w:t>
      </w:r>
      <w:r w:rsidR="00A66682">
        <w:rPr>
          <w:rFonts w:ascii="Times New Roman" w:hAnsi="Times New Roman" w:cs="Times New Roman"/>
          <w:sz w:val="24"/>
        </w:rPr>
        <w:t>depreciation</w:t>
      </w:r>
      <w:r w:rsidR="00605227">
        <w:rPr>
          <w:rFonts w:ascii="Times New Roman" w:hAnsi="Times New Roman" w:cs="Times New Roman"/>
          <w:sz w:val="24"/>
        </w:rPr>
        <w:t xml:space="preserve"> rates </w:t>
      </w:r>
      <w:r w:rsidR="00A66682">
        <w:rPr>
          <w:rFonts w:ascii="Times New Roman" w:hAnsi="Times New Roman" w:cs="Times New Roman"/>
          <w:sz w:val="24"/>
        </w:rPr>
        <w:t xml:space="preserve">proposed </w:t>
      </w:r>
      <w:r>
        <w:rPr>
          <w:rFonts w:ascii="Times New Roman" w:hAnsi="Times New Roman" w:cs="Times New Roman"/>
          <w:sz w:val="24"/>
        </w:rPr>
        <w:t xml:space="preserve">for the test period.  </w:t>
      </w:r>
    </w:p>
    <w:p w:rsidR="00D27AC1" w:rsidRDefault="00D27AC1" w:rsidP="00362DBE">
      <w:pPr>
        <w:spacing w:after="0"/>
        <w:jc w:val="both"/>
        <w:rPr>
          <w:rFonts w:ascii="Times New Roman" w:hAnsi="Times New Roman" w:cs="Times New Roman"/>
          <w:sz w:val="24"/>
        </w:rPr>
      </w:pPr>
    </w:p>
    <w:p w:rsidR="00D27AC1" w:rsidRDefault="00942610" w:rsidP="00D27AC1">
      <w:pPr>
        <w:spacing w:after="0"/>
        <w:jc w:val="center"/>
        <w:rPr>
          <w:rFonts w:ascii="Times New Roman" w:hAnsi="Times New Roman" w:cs="Times New Roman"/>
          <w:sz w:val="24"/>
        </w:rPr>
      </w:pPr>
      <w:r w:rsidRPr="00942610">
        <w:rPr>
          <w:noProof/>
        </w:rPr>
        <w:drawing>
          <wp:inline distT="0" distB="0" distL="0" distR="0">
            <wp:extent cx="3284220" cy="12420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84220" cy="1242060"/>
                    </a:xfrm>
                    <a:prstGeom prst="rect">
                      <a:avLst/>
                    </a:prstGeom>
                    <a:noFill/>
                    <a:ln>
                      <a:noFill/>
                    </a:ln>
                  </pic:spPr>
                </pic:pic>
              </a:graphicData>
            </a:graphic>
          </wp:inline>
        </w:drawing>
      </w:r>
    </w:p>
    <w:p w:rsidR="00364EF5" w:rsidRDefault="00364EF5" w:rsidP="00362DBE">
      <w:pPr>
        <w:spacing w:after="0"/>
        <w:jc w:val="both"/>
        <w:rPr>
          <w:rFonts w:ascii="Times New Roman" w:hAnsi="Times New Roman" w:cs="Times New Roman"/>
          <w:sz w:val="24"/>
        </w:rPr>
      </w:pPr>
    </w:p>
    <w:p w:rsidR="00364EF5" w:rsidRDefault="00364EF5" w:rsidP="00364EF5">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0A4FB2">
        <w:rPr>
          <w:rFonts w:ascii="Times New Roman" w:hAnsi="Times New Roman" w:cs="Times New Roman"/>
          <w:sz w:val="24"/>
          <w:u w:val="single"/>
        </w:rPr>
        <w:t>BT</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0A4FB2">
        <w:rPr>
          <w:rFonts w:ascii="Times New Roman" w:hAnsi="Times New Roman" w:cs="Times New Roman"/>
          <w:sz w:val="24"/>
          <w:u w:val="single"/>
        </w:rPr>
        <w:t>18,189</w:t>
      </w:r>
      <w:r w:rsidRPr="00362DB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t xml:space="preserve">Fuel and Materials &amp; Supplies Inventory  </w:t>
      </w:r>
    </w:p>
    <w:p w:rsidR="00364EF5" w:rsidRDefault="00364EF5" w:rsidP="00364EF5">
      <w:pPr>
        <w:spacing w:after="0"/>
        <w:rPr>
          <w:rFonts w:ascii="Times New Roman" w:hAnsi="Times New Roman" w:cs="Times New Roman"/>
          <w:sz w:val="24"/>
        </w:rPr>
      </w:pPr>
    </w:p>
    <w:p w:rsidR="00364EF5" w:rsidRDefault="00364EF5" w:rsidP="00364EF5">
      <w:pPr>
        <w:spacing w:after="0"/>
        <w:jc w:val="both"/>
        <w:rPr>
          <w:rFonts w:ascii="Times New Roman" w:hAnsi="Times New Roman" w:cs="Times New Roman"/>
          <w:sz w:val="24"/>
        </w:rPr>
      </w:pPr>
      <w:r>
        <w:rPr>
          <w:rFonts w:ascii="Times New Roman" w:hAnsi="Times New Roman" w:cs="Times New Roman"/>
          <w:sz w:val="24"/>
        </w:rPr>
        <w:t xml:space="preserve">This adjustment removes </w:t>
      </w:r>
      <w:r w:rsidR="005F0371">
        <w:rPr>
          <w:rFonts w:ascii="Times New Roman" w:hAnsi="Times New Roman" w:cs="Times New Roman"/>
          <w:sz w:val="24"/>
        </w:rPr>
        <w:t xml:space="preserve">materials and supplies inventories associated with unregulated outdoor lighting and </w:t>
      </w:r>
      <w:r w:rsidR="000405ED">
        <w:rPr>
          <w:rFonts w:ascii="Times New Roman" w:hAnsi="Times New Roman" w:cs="Times New Roman"/>
          <w:sz w:val="24"/>
        </w:rPr>
        <w:t xml:space="preserve">Plant </w:t>
      </w:r>
      <w:r w:rsidR="005F0371">
        <w:rPr>
          <w:rFonts w:ascii="Times New Roman" w:hAnsi="Times New Roman" w:cs="Times New Roman"/>
          <w:sz w:val="24"/>
        </w:rPr>
        <w:t xml:space="preserve">Vogtle Units 3 &amp; 4.  </w:t>
      </w:r>
    </w:p>
    <w:p w:rsidR="000405ED" w:rsidRDefault="000405ED" w:rsidP="00364EF5">
      <w:pPr>
        <w:spacing w:after="0"/>
        <w:jc w:val="both"/>
        <w:rPr>
          <w:rFonts w:ascii="Times New Roman" w:hAnsi="Times New Roman" w:cs="Times New Roman"/>
          <w:sz w:val="24"/>
        </w:rPr>
      </w:pPr>
    </w:p>
    <w:p w:rsidR="000405ED" w:rsidRDefault="00D80554" w:rsidP="000405ED">
      <w:pPr>
        <w:spacing w:after="0"/>
        <w:jc w:val="center"/>
        <w:rPr>
          <w:rFonts w:ascii="Times New Roman" w:hAnsi="Times New Roman" w:cs="Times New Roman"/>
          <w:sz w:val="24"/>
        </w:rPr>
      </w:pPr>
      <w:r w:rsidRPr="00D80554">
        <w:rPr>
          <w:noProof/>
        </w:rPr>
        <w:drawing>
          <wp:inline distT="0" distB="0" distL="0" distR="0">
            <wp:extent cx="3284220" cy="10439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84220" cy="1043940"/>
                    </a:xfrm>
                    <a:prstGeom prst="rect">
                      <a:avLst/>
                    </a:prstGeom>
                    <a:noFill/>
                    <a:ln>
                      <a:noFill/>
                    </a:ln>
                  </pic:spPr>
                </pic:pic>
              </a:graphicData>
            </a:graphic>
          </wp:inline>
        </w:drawing>
      </w:r>
    </w:p>
    <w:p w:rsidR="00364EF5" w:rsidRDefault="00364EF5" w:rsidP="00364EF5">
      <w:pPr>
        <w:spacing w:after="0"/>
        <w:jc w:val="both"/>
        <w:rPr>
          <w:rFonts w:ascii="Times New Roman" w:hAnsi="Times New Roman" w:cs="Times New Roman"/>
          <w:sz w:val="24"/>
        </w:rPr>
      </w:pPr>
    </w:p>
    <w:p w:rsidR="000405ED" w:rsidRDefault="000405ED" w:rsidP="000405ED">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Pr>
          <w:rFonts w:ascii="Times New Roman" w:hAnsi="Times New Roman" w:cs="Times New Roman"/>
          <w:sz w:val="24"/>
          <w:u w:val="single"/>
        </w:rPr>
        <w:t>BU</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Pr>
          <w:rFonts w:ascii="Times New Roman" w:hAnsi="Times New Roman" w:cs="Times New Roman"/>
          <w:sz w:val="24"/>
          <w:u w:val="single"/>
        </w:rPr>
        <w:t>(43,360)</w:t>
      </w:r>
      <w:r>
        <w:rPr>
          <w:rFonts w:ascii="Times New Roman" w:hAnsi="Times New Roman" w:cs="Times New Roman"/>
          <w:sz w:val="24"/>
        </w:rPr>
        <w:tab/>
      </w:r>
      <w:r>
        <w:rPr>
          <w:rFonts w:ascii="Times New Roman" w:hAnsi="Times New Roman" w:cs="Times New Roman"/>
          <w:sz w:val="24"/>
        </w:rPr>
        <w:tab/>
        <w:t>Operating Reserves</w:t>
      </w:r>
    </w:p>
    <w:p w:rsidR="000405ED" w:rsidRDefault="000405ED" w:rsidP="000405ED">
      <w:pPr>
        <w:spacing w:after="0"/>
        <w:rPr>
          <w:rFonts w:ascii="Times New Roman" w:hAnsi="Times New Roman" w:cs="Times New Roman"/>
          <w:sz w:val="24"/>
        </w:rPr>
      </w:pPr>
    </w:p>
    <w:p w:rsidR="000405ED" w:rsidRDefault="000405ED" w:rsidP="000405ED">
      <w:pPr>
        <w:spacing w:after="0"/>
        <w:jc w:val="both"/>
        <w:rPr>
          <w:rFonts w:ascii="Times New Roman" w:hAnsi="Times New Roman" w:cs="Times New Roman"/>
          <w:sz w:val="24"/>
        </w:rPr>
      </w:pPr>
      <w:r w:rsidRPr="008567FE">
        <w:rPr>
          <w:rFonts w:ascii="Times New Roman" w:hAnsi="Times New Roman" w:cs="Times New Roman"/>
          <w:sz w:val="24"/>
        </w:rPr>
        <w:t xml:space="preserve">This adjustment </w:t>
      </w:r>
      <w:r>
        <w:rPr>
          <w:rFonts w:ascii="Times New Roman" w:hAnsi="Times New Roman" w:cs="Times New Roman"/>
          <w:sz w:val="24"/>
        </w:rPr>
        <w:t>normalizes operating reserve</w:t>
      </w:r>
      <w:r w:rsidR="00A66682">
        <w:rPr>
          <w:rFonts w:ascii="Times New Roman" w:hAnsi="Times New Roman" w:cs="Times New Roman"/>
          <w:sz w:val="24"/>
        </w:rPr>
        <w:t xml:space="preserve"> assets and liabilities</w:t>
      </w:r>
      <w:r>
        <w:rPr>
          <w:rFonts w:ascii="Times New Roman" w:hAnsi="Times New Roman" w:cs="Times New Roman"/>
          <w:sz w:val="24"/>
        </w:rPr>
        <w:t xml:space="preserve"> </w:t>
      </w:r>
      <w:r w:rsidR="00605227">
        <w:rPr>
          <w:rFonts w:ascii="Times New Roman" w:hAnsi="Times New Roman" w:cs="Times New Roman"/>
          <w:sz w:val="24"/>
        </w:rPr>
        <w:t xml:space="preserve">including environmental remediation, federal tax reform refund, and storm damage </w:t>
      </w:r>
      <w:r w:rsidR="00A66682">
        <w:rPr>
          <w:rFonts w:ascii="Times New Roman" w:hAnsi="Times New Roman" w:cs="Times New Roman"/>
          <w:sz w:val="24"/>
        </w:rPr>
        <w:t>for the test period</w:t>
      </w:r>
      <w:r>
        <w:rPr>
          <w:rFonts w:ascii="Times New Roman" w:hAnsi="Times New Roman" w:cs="Times New Roman"/>
          <w:sz w:val="24"/>
        </w:rPr>
        <w:t xml:space="preserve">.   </w:t>
      </w:r>
    </w:p>
    <w:p w:rsidR="000405ED" w:rsidRDefault="000405ED" w:rsidP="000405ED">
      <w:pPr>
        <w:spacing w:after="0"/>
        <w:rPr>
          <w:rFonts w:ascii="Times New Roman" w:hAnsi="Times New Roman" w:cs="Times New Roman"/>
          <w:sz w:val="24"/>
          <w:u w:val="single"/>
        </w:rPr>
      </w:pPr>
    </w:p>
    <w:p w:rsidR="000405ED" w:rsidRDefault="000405ED" w:rsidP="000405ED">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Pr>
          <w:rFonts w:ascii="Times New Roman" w:hAnsi="Times New Roman" w:cs="Times New Roman"/>
          <w:sz w:val="24"/>
          <w:u w:val="single"/>
        </w:rPr>
        <w:t>BV</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Pr>
          <w:rFonts w:ascii="Times New Roman" w:hAnsi="Times New Roman" w:cs="Times New Roman"/>
          <w:sz w:val="24"/>
          <w:u w:val="single"/>
        </w:rPr>
        <w:t>(5,212)</w:t>
      </w:r>
      <w:r>
        <w:rPr>
          <w:rFonts w:ascii="Times New Roman" w:hAnsi="Times New Roman" w:cs="Times New Roman"/>
          <w:sz w:val="24"/>
        </w:rPr>
        <w:tab/>
      </w:r>
      <w:r>
        <w:rPr>
          <w:rFonts w:ascii="Times New Roman" w:hAnsi="Times New Roman" w:cs="Times New Roman"/>
          <w:sz w:val="24"/>
        </w:rPr>
        <w:tab/>
        <w:t xml:space="preserve">Future Nuclear </w:t>
      </w:r>
    </w:p>
    <w:p w:rsidR="000405ED" w:rsidRDefault="000405ED" w:rsidP="000405ED">
      <w:pPr>
        <w:spacing w:after="0"/>
        <w:rPr>
          <w:rFonts w:ascii="Times New Roman" w:hAnsi="Times New Roman" w:cs="Times New Roman"/>
          <w:sz w:val="24"/>
        </w:rPr>
      </w:pPr>
    </w:p>
    <w:p w:rsidR="000405ED" w:rsidRDefault="000405ED" w:rsidP="000405ED">
      <w:pPr>
        <w:spacing w:after="0"/>
        <w:jc w:val="both"/>
        <w:rPr>
          <w:rFonts w:ascii="Times New Roman" w:hAnsi="Times New Roman" w:cs="Times New Roman"/>
          <w:sz w:val="24"/>
        </w:rPr>
      </w:pPr>
      <w:r w:rsidRPr="008567FE">
        <w:rPr>
          <w:rFonts w:ascii="Times New Roman" w:hAnsi="Times New Roman" w:cs="Times New Roman"/>
          <w:sz w:val="24"/>
        </w:rPr>
        <w:t xml:space="preserve">This adjustment </w:t>
      </w:r>
      <w:r>
        <w:rPr>
          <w:rFonts w:ascii="Times New Roman" w:hAnsi="Times New Roman" w:cs="Times New Roman"/>
          <w:sz w:val="24"/>
        </w:rPr>
        <w:t>normalizes</w:t>
      </w:r>
      <w:r w:rsidR="00666EA2">
        <w:rPr>
          <w:rFonts w:ascii="Times New Roman" w:hAnsi="Times New Roman" w:cs="Times New Roman"/>
          <w:sz w:val="24"/>
        </w:rPr>
        <w:t xml:space="preserve"> </w:t>
      </w:r>
      <w:r>
        <w:rPr>
          <w:rFonts w:ascii="Times New Roman" w:hAnsi="Times New Roman" w:cs="Times New Roman"/>
          <w:sz w:val="24"/>
        </w:rPr>
        <w:t xml:space="preserve">the </w:t>
      </w:r>
      <w:r w:rsidR="00D80554">
        <w:rPr>
          <w:rFonts w:ascii="Times New Roman" w:hAnsi="Times New Roman" w:cs="Times New Roman"/>
          <w:sz w:val="24"/>
        </w:rPr>
        <w:t>rate base impact of the proposed amortization of</w:t>
      </w:r>
      <w:r w:rsidR="00666EA2">
        <w:rPr>
          <w:rFonts w:ascii="Times New Roman" w:hAnsi="Times New Roman" w:cs="Times New Roman"/>
          <w:sz w:val="24"/>
        </w:rPr>
        <w:t xml:space="preserve"> deferred costs approved by the Commission to investigate the option of pursuing new nuclear generation in Stewart County, Georgia</w:t>
      </w:r>
      <w:r w:rsidR="00B436D3">
        <w:rPr>
          <w:rFonts w:ascii="Times New Roman" w:hAnsi="Times New Roman" w:cs="Times New Roman"/>
          <w:sz w:val="24"/>
        </w:rPr>
        <w:t xml:space="preserve"> for the test period</w:t>
      </w:r>
      <w:r>
        <w:rPr>
          <w:rFonts w:ascii="Times New Roman" w:hAnsi="Times New Roman" w:cs="Times New Roman"/>
          <w:sz w:val="24"/>
        </w:rPr>
        <w:t xml:space="preserve">.  </w:t>
      </w:r>
    </w:p>
    <w:p w:rsidR="000405ED" w:rsidRDefault="000405ED" w:rsidP="000405ED">
      <w:pPr>
        <w:spacing w:after="0"/>
        <w:rPr>
          <w:rFonts w:ascii="Times New Roman" w:hAnsi="Times New Roman" w:cs="Times New Roman"/>
          <w:sz w:val="24"/>
          <w:u w:val="single"/>
        </w:rPr>
      </w:pPr>
    </w:p>
    <w:p w:rsidR="000405ED" w:rsidRDefault="000405ED" w:rsidP="000405ED">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Pr>
          <w:rFonts w:ascii="Times New Roman" w:hAnsi="Times New Roman" w:cs="Times New Roman"/>
          <w:sz w:val="24"/>
          <w:u w:val="single"/>
        </w:rPr>
        <w:t>BW</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Pr>
          <w:rFonts w:ascii="Times New Roman" w:hAnsi="Times New Roman" w:cs="Times New Roman"/>
          <w:sz w:val="24"/>
          <w:u w:val="single"/>
        </w:rPr>
        <w:t>(</w:t>
      </w:r>
      <w:r w:rsidR="00AB63B7">
        <w:rPr>
          <w:rFonts w:ascii="Times New Roman" w:hAnsi="Times New Roman" w:cs="Times New Roman"/>
          <w:sz w:val="24"/>
          <w:u w:val="single"/>
        </w:rPr>
        <w:t>7,249</w:t>
      </w:r>
      <w:r>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t>Retired Units’ NBV</w:t>
      </w:r>
    </w:p>
    <w:p w:rsidR="000405ED" w:rsidRDefault="000405ED" w:rsidP="000405ED">
      <w:pPr>
        <w:spacing w:after="0"/>
        <w:rPr>
          <w:rFonts w:ascii="Times New Roman" w:hAnsi="Times New Roman" w:cs="Times New Roman"/>
          <w:sz w:val="24"/>
        </w:rPr>
      </w:pPr>
    </w:p>
    <w:p w:rsidR="00666EA2" w:rsidRPr="00A66682" w:rsidRDefault="00D80554" w:rsidP="00A66682">
      <w:pPr>
        <w:spacing w:after="0"/>
        <w:jc w:val="both"/>
        <w:rPr>
          <w:rFonts w:ascii="Times New Roman" w:hAnsi="Times New Roman" w:cs="Times New Roman"/>
          <w:sz w:val="24"/>
        </w:rPr>
      </w:pPr>
      <w:r>
        <w:rPr>
          <w:rFonts w:ascii="Times New Roman" w:hAnsi="Times New Roman" w:cs="Times New Roman"/>
          <w:sz w:val="24"/>
        </w:rPr>
        <w:t xml:space="preserve">This adjustment normalizes for the test period the rate base impact of the proposed amortization of the remaining net book values of previously decertified units in Docket Nos. 34218, 36498, and 40161 and the proposed decertification of units in Docket No. 42310.  </w:t>
      </w:r>
    </w:p>
    <w:p w:rsidR="000405ED" w:rsidRDefault="000405ED" w:rsidP="000405ED">
      <w:pPr>
        <w:spacing w:after="0"/>
        <w:rPr>
          <w:rFonts w:ascii="Times New Roman" w:hAnsi="Times New Roman" w:cs="Times New Roman"/>
          <w:sz w:val="24"/>
        </w:rPr>
      </w:pPr>
      <w:r w:rsidRPr="00362DBE">
        <w:rPr>
          <w:rFonts w:ascii="Times New Roman" w:hAnsi="Times New Roman" w:cs="Times New Roman"/>
          <w:sz w:val="24"/>
          <w:u w:val="single"/>
        </w:rPr>
        <w:lastRenderedPageBreak/>
        <w:t xml:space="preserve">FOOTNOTE </w:t>
      </w:r>
      <w:r>
        <w:rPr>
          <w:rFonts w:ascii="Times New Roman" w:hAnsi="Times New Roman" w:cs="Times New Roman"/>
          <w:sz w:val="24"/>
          <w:u w:val="single"/>
        </w:rPr>
        <w:t>BX</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Pr>
          <w:rFonts w:ascii="Times New Roman" w:hAnsi="Times New Roman" w:cs="Times New Roman"/>
          <w:sz w:val="24"/>
          <w:u w:val="single"/>
        </w:rPr>
        <w:t>(4,755)</w:t>
      </w:r>
      <w:r>
        <w:rPr>
          <w:rFonts w:ascii="Times New Roman" w:hAnsi="Times New Roman" w:cs="Times New Roman"/>
          <w:sz w:val="24"/>
        </w:rPr>
        <w:tab/>
      </w:r>
      <w:r>
        <w:rPr>
          <w:rFonts w:ascii="Times New Roman" w:hAnsi="Times New Roman" w:cs="Times New Roman"/>
          <w:sz w:val="24"/>
        </w:rPr>
        <w:tab/>
        <w:t xml:space="preserve">Obsolete Inventory </w:t>
      </w:r>
    </w:p>
    <w:p w:rsidR="000405ED" w:rsidRDefault="000405ED" w:rsidP="000405ED">
      <w:pPr>
        <w:spacing w:after="0"/>
        <w:rPr>
          <w:rFonts w:ascii="Times New Roman" w:hAnsi="Times New Roman" w:cs="Times New Roman"/>
          <w:sz w:val="24"/>
        </w:rPr>
      </w:pPr>
    </w:p>
    <w:p w:rsidR="000405ED" w:rsidRDefault="000405ED" w:rsidP="000405ED">
      <w:pPr>
        <w:spacing w:after="0"/>
        <w:jc w:val="both"/>
        <w:rPr>
          <w:rFonts w:ascii="Times New Roman" w:hAnsi="Times New Roman" w:cs="Times New Roman"/>
          <w:sz w:val="24"/>
        </w:rPr>
      </w:pPr>
      <w:r w:rsidRPr="008567FE">
        <w:rPr>
          <w:rFonts w:ascii="Times New Roman" w:hAnsi="Times New Roman" w:cs="Times New Roman"/>
          <w:sz w:val="24"/>
        </w:rPr>
        <w:t xml:space="preserve">This adjustment </w:t>
      </w:r>
      <w:r>
        <w:rPr>
          <w:rFonts w:ascii="Times New Roman" w:hAnsi="Times New Roman" w:cs="Times New Roman"/>
          <w:sz w:val="24"/>
        </w:rPr>
        <w:t xml:space="preserve">normalizes </w:t>
      </w:r>
      <w:r w:rsidR="00D80554">
        <w:rPr>
          <w:rFonts w:ascii="Times New Roman" w:hAnsi="Times New Roman" w:cs="Times New Roman"/>
          <w:sz w:val="24"/>
        </w:rPr>
        <w:t xml:space="preserve">the rate base impact of the proposed amortization of </w:t>
      </w:r>
      <w:r w:rsidR="00666EA2">
        <w:rPr>
          <w:rFonts w:ascii="Times New Roman" w:hAnsi="Times New Roman" w:cs="Times New Roman"/>
          <w:sz w:val="24"/>
        </w:rPr>
        <w:t xml:space="preserve">obsolete inventory for the test period.  </w:t>
      </w:r>
      <w:r>
        <w:rPr>
          <w:rFonts w:ascii="Times New Roman" w:hAnsi="Times New Roman" w:cs="Times New Roman"/>
          <w:sz w:val="24"/>
        </w:rPr>
        <w:t xml:space="preserve">        </w:t>
      </w:r>
    </w:p>
    <w:p w:rsidR="000405ED" w:rsidRDefault="000405ED" w:rsidP="000405ED">
      <w:pPr>
        <w:spacing w:after="0"/>
        <w:rPr>
          <w:rFonts w:ascii="Times New Roman" w:hAnsi="Times New Roman" w:cs="Times New Roman"/>
          <w:sz w:val="24"/>
          <w:u w:val="single"/>
        </w:rPr>
      </w:pPr>
    </w:p>
    <w:p w:rsidR="000405ED" w:rsidRDefault="000405ED" w:rsidP="000405ED">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Pr>
          <w:rFonts w:ascii="Times New Roman" w:hAnsi="Times New Roman" w:cs="Times New Roman"/>
          <w:sz w:val="24"/>
          <w:u w:val="single"/>
        </w:rPr>
        <w:t>BY</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Pr>
          <w:rFonts w:ascii="Times New Roman" w:hAnsi="Times New Roman" w:cs="Times New Roman"/>
          <w:sz w:val="24"/>
          <w:u w:val="single"/>
        </w:rPr>
        <w:t>72,201</w:t>
      </w:r>
      <w:r>
        <w:rPr>
          <w:rFonts w:ascii="Times New Roman" w:hAnsi="Times New Roman" w:cs="Times New Roman"/>
          <w:sz w:val="24"/>
        </w:rPr>
        <w:tab/>
      </w:r>
      <w:r>
        <w:rPr>
          <w:rFonts w:ascii="Times New Roman" w:hAnsi="Times New Roman" w:cs="Times New Roman"/>
          <w:sz w:val="24"/>
        </w:rPr>
        <w:tab/>
        <w:t xml:space="preserve">Tax Reform Regulatory Liability  </w:t>
      </w:r>
    </w:p>
    <w:p w:rsidR="000405ED" w:rsidRDefault="000405ED" w:rsidP="000405ED">
      <w:pPr>
        <w:spacing w:after="0"/>
        <w:rPr>
          <w:rFonts w:ascii="Times New Roman" w:hAnsi="Times New Roman" w:cs="Times New Roman"/>
          <w:sz w:val="24"/>
        </w:rPr>
      </w:pPr>
    </w:p>
    <w:p w:rsidR="000A4FB2" w:rsidRPr="00B22868" w:rsidRDefault="000405ED" w:rsidP="000405ED">
      <w:pPr>
        <w:spacing w:after="0"/>
        <w:jc w:val="both"/>
        <w:rPr>
          <w:rFonts w:ascii="Times New Roman" w:hAnsi="Times New Roman" w:cs="Times New Roman"/>
          <w:sz w:val="24"/>
        </w:rPr>
      </w:pPr>
      <w:r w:rsidRPr="008567FE">
        <w:rPr>
          <w:rFonts w:ascii="Times New Roman" w:hAnsi="Times New Roman" w:cs="Times New Roman"/>
          <w:sz w:val="24"/>
        </w:rPr>
        <w:t xml:space="preserve">This adjustment </w:t>
      </w:r>
      <w:r>
        <w:rPr>
          <w:rFonts w:ascii="Times New Roman" w:hAnsi="Times New Roman" w:cs="Times New Roman"/>
          <w:sz w:val="24"/>
        </w:rPr>
        <w:t xml:space="preserve">normalizes the </w:t>
      </w:r>
      <w:r w:rsidR="00D80554">
        <w:rPr>
          <w:rFonts w:ascii="Times New Roman" w:hAnsi="Times New Roman" w:cs="Times New Roman"/>
          <w:sz w:val="24"/>
        </w:rPr>
        <w:t xml:space="preserve">rate base impact of the proposed amortization of the </w:t>
      </w:r>
      <w:r>
        <w:rPr>
          <w:rFonts w:ascii="Times New Roman" w:hAnsi="Times New Roman" w:cs="Times New Roman"/>
          <w:sz w:val="24"/>
        </w:rPr>
        <w:t xml:space="preserve">tax reform regulatory liability for the test period.  </w:t>
      </w:r>
    </w:p>
    <w:p w:rsidR="000A4FB2" w:rsidRDefault="000A4FB2" w:rsidP="00DD0AFE">
      <w:pPr>
        <w:spacing w:after="0"/>
        <w:rPr>
          <w:rFonts w:ascii="Times New Roman" w:hAnsi="Times New Roman" w:cs="Times New Roman"/>
          <w:sz w:val="24"/>
          <w:u w:val="single"/>
        </w:rPr>
      </w:pPr>
    </w:p>
    <w:p w:rsidR="00364EF5" w:rsidRDefault="00364EF5" w:rsidP="00DD0AF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0A4FB2">
        <w:rPr>
          <w:rFonts w:ascii="Times New Roman" w:hAnsi="Times New Roman" w:cs="Times New Roman"/>
          <w:sz w:val="24"/>
          <w:u w:val="single"/>
        </w:rPr>
        <w:t>B</w:t>
      </w:r>
      <w:r w:rsidR="00A715A6">
        <w:rPr>
          <w:rFonts w:ascii="Times New Roman" w:hAnsi="Times New Roman" w:cs="Times New Roman"/>
          <w:sz w:val="24"/>
          <w:u w:val="single"/>
        </w:rPr>
        <w:t>Z</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A715A6">
        <w:rPr>
          <w:rFonts w:ascii="Times New Roman" w:hAnsi="Times New Roman" w:cs="Times New Roman"/>
          <w:sz w:val="24"/>
          <w:u w:val="single"/>
        </w:rPr>
        <w:t>867,789</w:t>
      </w:r>
      <w:r>
        <w:rPr>
          <w:rFonts w:ascii="Times New Roman" w:hAnsi="Times New Roman" w:cs="Times New Roman"/>
          <w:sz w:val="24"/>
        </w:rPr>
        <w:tab/>
      </w:r>
      <w:r>
        <w:rPr>
          <w:rFonts w:ascii="Times New Roman" w:hAnsi="Times New Roman" w:cs="Times New Roman"/>
          <w:sz w:val="24"/>
        </w:rPr>
        <w:tab/>
      </w:r>
      <w:r w:rsidR="00DD0AFE">
        <w:rPr>
          <w:rFonts w:ascii="Times New Roman" w:hAnsi="Times New Roman" w:cs="Times New Roman"/>
          <w:sz w:val="24"/>
        </w:rPr>
        <w:t>ARO Regulatory Liability (254)</w:t>
      </w:r>
    </w:p>
    <w:p w:rsidR="00364EF5" w:rsidRDefault="00364EF5" w:rsidP="00364EF5">
      <w:pPr>
        <w:spacing w:after="0"/>
        <w:rPr>
          <w:rFonts w:ascii="Times New Roman" w:hAnsi="Times New Roman" w:cs="Times New Roman"/>
          <w:sz w:val="24"/>
        </w:rPr>
      </w:pPr>
    </w:p>
    <w:p w:rsidR="00364EF5" w:rsidRDefault="00666EA2" w:rsidP="00364EF5">
      <w:pPr>
        <w:spacing w:after="0"/>
        <w:jc w:val="both"/>
        <w:rPr>
          <w:rFonts w:ascii="Times New Roman" w:hAnsi="Times New Roman" w:cs="Times New Roman"/>
          <w:sz w:val="24"/>
        </w:rPr>
      </w:pPr>
      <w:r>
        <w:rPr>
          <w:rFonts w:ascii="Times New Roman" w:hAnsi="Times New Roman" w:cs="Times New Roman"/>
          <w:sz w:val="24"/>
        </w:rPr>
        <w:t>This adjustment removes the external nuclear decommissioning regulatory liability funded through an external fund and normalizes</w:t>
      </w:r>
      <w:r w:rsidR="00605227">
        <w:rPr>
          <w:rFonts w:ascii="Times New Roman" w:hAnsi="Times New Roman" w:cs="Times New Roman"/>
          <w:sz w:val="24"/>
        </w:rPr>
        <w:t xml:space="preserve"> ARO liability</w:t>
      </w:r>
      <w:r>
        <w:rPr>
          <w:rFonts w:ascii="Times New Roman" w:hAnsi="Times New Roman" w:cs="Times New Roman"/>
          <w:sz w:val="24"/>
        </w:rPr>
        <w:t xml:space="preserve"> </w:t>
      </w:r>
      <w:r w:rsidR="00A66682">
        <w:rPr>
          <w:rFonts w:ascii="Times New Roman" w:hAnsi="Times New Roman" w:cs="Times New Roman"/>
          <w:sz w:val="24"/>
        </w:rPr>
        <w:t xml:space="preserve">based on proposed ARO recovery </w:t>
      </w:r>
      <w:r>
        <w:rPr>
          <w:rFonts w:ascii="Times New Roman" w:hAnsi="Times New Roman" w:cs="Times New Roman"/>
          <w:sz w:val="24"/>
        </w:rPr>
        <w:t xml:space="preserve">for the test period.  </w:t>
      </w:r>
    </w:p>
    <w:p w:rsidR="00666EA2" w:rsidRDefault="00666EA2" w:rsidP="00364EF5">
      <w:pPr>
        <w:spacing w:after="0"/>
        <w:jc w:val="both"/>
        <w:rPr>
          <w:rFonts w:ascii="Times New Roman" w:hAnsi="Times New Roman" w:cs="Times New Roman"/>
          <w:sz w:val="24"/>
        </w:rPr>
      </w:pPr>
    </w:p>
    <w:p w:rsidR="00666EA2" w:rsidRDefault="00666EA2" w:rsidP="00666EA2">
      <w:pPr>
        <w:spacing w:after="0"/>
        <w:jc w:val="center"/>
        <w:rPr>
          <w:rFonts w:ascii="Times New Roman" w:hAnsi="Times New Roman" w:cs="Times New Roman"/>
          <w:sz w:val="24"/>
        </w:rPr>
      </w:pPr>
      <w:r w:rsidRPr="00666EA2">
        <w:rPr>
          <w:noProof/>
        </w:rPr>
        <w:drawing>
          <wp:inline distT="0" distB="0" distL="0" distR="0">
            <wp:extent cx="3284220" cy="9982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84220" cy="998220"/>
                    </a:xfrm>
                    <a:prstGeom prst="rect">
                      <a:avLst/>
                    </a:prstGeom>
                    <a:noFill/>
                    <a:ln>
                      <a:noFill/>
                    </a:ln>
                  </pic:spPr>
                </pic:pic>
              </a:graphicData>
            </a:graphic>
          </wp:inline>
        </w:drawing>
      </w:r>
    </w:p>
    <w:p w:rsidR="00A75161" w:rsidRDefault="00A75161">
      <w:pPr>
        <w:rPr>
          <w:rFonts w:ascii="Times New Roman" w:hAnsi="Times New Roman" w:cs="Times New Roman"/>
          <w:sz w:val="24"/>
          <w:u w:val="single"/>
        </w:rPr>
      </w:pPr>
    </w:p>
    <w:p w:rsidR="00533A63" w:rsidRDefault="00364EF5" w:rsidP="00364EF5">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A715A6">
        <w:rPr>
          <w:rFonts w:ascii="Times New Roman" w:hAnsi="Times New Roman" w:cs="Times New Roman"/>
          <w:sz w:val="24"/>
          <w:u w:val="single"/>
        </w:rPr>
        <w:t>CA</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6572C2">
        <w:rPr>
          <w:rFonts w:ascii="Times New Roman" w:hAnsi="Times New Roman" w:cs="Times New Roman"/>
          <w:sz w:val="24"/>
          <w:u w:val="single"/>
        </w:rPr>
        <w:t>15</w:t>
      </w:r>
      <w:r w:rsidR="00A715A6">
        <w:rPr>
          <w:rFonts w:ascii="Times New Roman" w:hAnsi="Times New Roman" w:cs="Times New Roman"/>
          <w:sz w:val="24"/>
          <w:u w:val="single"/>
        </w:rPr>
        <w:t>3,458</w:t>
      </w:r>
      <w:r w:rsidRPr="00362DB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r>
      <w:r w:rsidR="00533A63">
        <w:rPr>
          <w:rFonts w:ascii="Times New Roman" w:hAnsi="Times New Roman" w:cs="Times New Roman"/>
          <w:sz w:val="24"/>
        </w:rPr>
        <w:t>Adjustment to Accumulated Deferred</w:t>
      </w:r>
    </w:p>
    <w:p w:rsidR="00364EF5" w:rsidRDefault="00533A63" w:rsidP="00364EF5">
      <w:pPr>
        <w:spacing w:after="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DD0AFE">
        <w:rPr>
          <w:rFonts w:ascii="Times New Roman" w:hAnsi="Times New Roman" w:cs="Times New Roman"/>
          <w:sz w:val="24"/>
        </w:rPr>
        <w:t>Income Taxes (282)</w:t>
      </w:r>
      <w:r w:rsidR="00364EF5">
        <w:rPr>
          <w:rFonts w:ascii="Times New Roman" w:hAnsi="Times New Roman" w:cs="Times New Roman"/>
          <w:sz w:val="24"/>
        </w:rPr>
        <w:t xml:space="preserve"> </w:t>
      </w:r>
    </w:p>
    <w:p w:rsidR="00364EF5" w:rsidRDefault="00364EF5" w:rsidP="00364EF5">
      <w:pPr>
        <w:spacing w:after="0"/>
        <w:rPr>
          <w:rFonts w:ascii="Times New Roman" w:hAnsi="Times New Roman" w:cs="Times New Roman"/>
          <w:sz w:val="24"/>
        </w:rPr>
      </w:pPr>
    </w:p>
    <w:p w:rsidR="00364EF5" w:rsidRDefault="007B132F" w:rsidP="00364EF5">
      <w:pPr>
        <w:spacing w:after="0"/>
        <w:jc w:val="both"/>
        <w:rPr>
          <w:rFonts w:ascii="Times New Roman" w:hAnsi="Times New Roman" w:cs="Times New Roman"/>
          <w:sz w:val="24"/>
        </w:rPr>
      </w:pPr>
      <w:r>
        <w:rPr>
          <w:rFonts w:ascii="Times New Roman" w:hAnsi="Times New Roman" w:cs="Times New Roman"/>
          <w:sz w:val="24"/>
        </w:rPr>
        <w:t xml:space="preserve">This adjustment removes ADITs associated with CWIP, unregulated </w:t>
      </w:r>
      <w:r w:rsidR="006A64EF">
        <w:rPr>
          <w:rFonts w:ascii="Times New Roman" w:hAnsi="Times New Roman" w:cs="Times New Roman"/>
          <w:sz w:val="24"/>
        </w:rPr>
        <w:t xml:space="preserve">outdoor lighting, closures of Plant Vogtle Units 3 and 4 </w:t>
      </w:r>
      <w:r w:rsidR="00B436D3">
        <w:rPr>
          <w:rFonts w:ascii="Times New Roman" w:hAnsi="Times New Roman" w:cs="Times New Roman"/>
          <w:sz w:val="24"/>
        </w:rPr>
        <w:t>whose carrying cost is recovered</w:t>
      </w:r>
      <w:r w:rsidR="006A64EF">
        <w:rPr>
          <w:rFonts w:ascii="Times New Roman" w:hAnsi="Times New Roman" w:cs="Times New Roman"/>
          <w:sz w:val="24"/>
        </w:rPr>
        <w:t xml:space="preserve"> through the NCCR tariff, reflects the proration of ADITs in accordance with Internal Revenue Code Section 167L, and normalizes </w:t>
      </w:r>
      <w:r w:rsidR="00D80554">
        <w:rPr>
          <w:rFonts w:ascii="Times New Roman" w:hAnsi="Times New Roman" w:cs="Times New Roman"/>
          <w:sz w:val="24"/>
        </w:rPr>
        <w:t xml:space="preserve">the ADITs for the normalization items referenced in FOOTNOTES BQ/ through BZ/ for the test period. </w:t>
      </w:r>
      <w:r w:rsidR="006A64EF">
        <w:rPr>
          <w:rFonts w:ascii="Times New Roman" w:hAnsi="Times New Roman" w:cs="Times New Roman"/>
          <w:sz w:val="24"/>
        </w:rPr>
        <w:t xml:space="preserve">  </w:t>
      </w:r>
    </w:p>
    <w:p w:rsidR="00651939" w:rsidRDefault="00651939" w:rsidP="00364EF5">
      <w:pPr>
        <w:spacing w:after="0"/>
        <w:jc w:val="both"/>
        <w:rPr>
          <w:rFonts w:ascii="Times New Roman" w:hAnsi="Times New Roman" w:cs="Times New Roman"/>
          <w:sz w:val="24"/>
        </w:rPr>
      </w:pPr>
    </w:p>
    <w:p w:rsidR="00651939" w:rsidRDefault="006A64EF" w:rsidP="00651939">
      <w:pPr>
        <w:spacing w:after="0"/>
        <w:jc w:val="center"/>
        <w:rPr>
          <w:rFonts w:ascii="Times New Roman" w:hAnsi="Times New Roman" w:cs="Times New Roman"/>
          <w:sz w:val="24"/>
        </w:rPr>
      </w:pPr>
      <w:r w:rsidRPr="006A64EF">
        <w:rPr>
          <w:noProof/>
        </w:rPr>
        <w:drawing>
          <wp:inline distT="0" distB="0" distL="0" distR="0">
            <wp:extent cx="3474720" cy="16840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74720" cy="1684020"/>
                    </a:xfrm>
                    <a:prstGeom prst="rect">
                      <a:avLst/>
                    </a:prstGeom>
                    <a:noFill/>
                    <a:ln>
                      <a:noFill/>
                    </a:ln>
                  </pic:spPr>
                </pic:pic>
              </a:graphicData>
            </a:graphic>
          </wp:inline>
        </w:drawing>
      </w:r>
    </w:p>
    <w:p w:rsidR="00364EF5" w:rsidRDefault="00364EF5" w:rsidP="00364EF5">
      <w:pPr>
        <w:spacing w:after="0"/>
        <w:jc w:val="both"/>
        <w:rPr>
          <w:rFonts w:ascii="Times New Roman" w:hAnsi="Times New Roman" w:cs="Times New Roman"/>
          <w:sz w:val="24"/>
        </w:rPr>
      </w:pPr>
    </w:p>
    <w:p w:rsidR="001A3116" w:rsidRDefault="001A3116">
      <w:pPr>
        <w:rPr>
          <w:rFonts w:ascii="Times New Roman" w:hAnsi="Times New Roman" w:cs="Times New Roman"/>
          <w:sz w:val="24"/>
          <w:u w:val="single"/>
        </w:rPr>
      </w:pPr>
      <w:r>
        <w:rPr>
          <w:rFonts w:ascii="Times New Roman" w:hAnsi="Times New Roman" w:cs="Times New Roman"/>
          <w:sz w:val="24"/>
          <w:u w:val="single"/>
        </w:rPr>
        <w:br w:type="page"/>
      </w:r>
    </w:p>
    <w:p w:rsidR="00DD0AFE" w:rsidRDefault="00364EF5" w:rsidP="00364EF5">
      <w:pPr>
        <w:spacing w:after="0"/>
        <w:rPr>
          <w:rFonts w:ascii="Times New Roman" w:hAnsi="Times New Roman" w:cs="Times New Roman"/>
          <w:sz w:val="24"/>
        </w:rPr>
      </w:pPr>
      <w:r w:rsidRPr="00362DBE">
        <w:rPr>
          <w:rFonts w:ascii="Times New Roman" w:hAnsi="Times New Roman" w:cs="Times New Roman"/>
          <w:sz w:val="24"/>
          <w:u w:val="single"/>
        </w:rPr>
        <w:lastRenderedPageBreak/>
        <w:t xml:space="preserve">FOOTNOTE </w:t>
      </w:r>
      <w:r w:rsidR="00A715A6">
        <w:rPr>
          <w:rFonts w:ascii="Times New Roman" w:hAnsi="Times New Roman" w:cs="Times New Roman"/>
          <w:sz w:val="24"/>
          <w:u w:val="single"/>
        </w:rPr>
        <w:t>CB</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00DD0AFE">
        <w:rPr>
          <w:rFonts w:ascii="Times New Roman" w:hAnsi="Times New Roman" w:cs="Times New Roman"/>
          <w:sz w:val="24"/>
          <w:u w:val="single"/>
        </w:rPr>
        <w:t>$</w:t>
      </w:r>
      <w:r w:rsidR="006572C2">
        <w:rPr>
          <w:rFonts w:ascii="Times New Roman" w:hAnsi="Times New Roman" w:cs="Times New Roman"/>
          <w:sz w:val="24"/>
          <w:u w:val="single"/>
        </w:rPr>
        <w:t>1</w:t>
      </w:r>
      <w:r w:rsidR="00A715A6">
        <w:rPr>
          <w:rFonts w:ascii="Times New Roman" w:hAnsi="Times New Roman" w:cs="Times New Roman"/>
          <w:sz w:val="24"/>
          <w:u w:val="single"/>
        </w:rPr>
        <w:t>7,319</w:t>
      </w:r>
      <w:r>
        <w:rPr>
          <w:rFonts w:ascii="Times New Roman" w:hAnsi="Times New Roman" w:cs="Times New Roman"/>
          <w:sz w:val="24"/>
        </w:rPr>
        <w:tab/>
      </w:r>
      <w:r w:rsidR="00DD0AFE">
        <w:rPr>
          <w:rFonts w:ascii="Times New Roman" w:hAnsi="Times New Roman" w:cs="Times New Roman"/>
          <w:sz w:val="24"/>
        </w:rPr>
        <w:tab/>
        <w:t>Adjustment to Accumulated Deferred</w:t>
      </w:r>
    </w:p>
    <w:p w:rsidR="00364EF5" w:rsidRDefault="00DD0AFE" w:rsidP="00364EF5">
      <w:pPr>
        <w:spacing w:after="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Income Taxes (283)</w:t>
      </w:r>
      <w:r w:rsidR="00364EF5">
        <w:rPr>
          <w:rFonts w:ascii="Times New Roman" w:hAnsi="Times New Roman" w:cs="Times New Roman"/>
          <w:sz w:val="24"/>
        </w:rPr>
        <w:t xml:space="preserve"> </w:t>
      </w:r>
    </w:p>
    <w:p w:rsidR="00364EF5" w:rsidRDefault="00364EF5" w:rsidP="00364EF5">
      <w:pPr>
        <w:spacing w:after="0"/>
        <w:rPr>
          <w:rFonts w:ascii="Times New Roman" w:hAnsi="Times New Roman" w:cs="Times New Roman"/>
          <w:sz w:val="24"/>
        </w:rPr>
      </w:pPr>
    </w:p>
    <w:p w:rsidR="00C6402F" w:rsidRDefault="006A64EF" w:rsidP="00364EF5">
      <w:pPr>
        <w:spacing w:after="0"/>
        <w:jc w:val="both"/>
        <w:rPr>
          <w:rFonts w:ascii="Times New Roman" w:hAnsi="Times New Roman" w:cs="Times New Roman"/>
          <w:sz w:val="24"/>
        </w:rPr>
      </w:pPr>
      <w:r>
        <w:rPr>
          <w:rFonts w:ascii="Times New Roman" w:hAnsi="Times New Roman" w:cs="Times New Roman"/>
          <w:sz w:val="24"/>
        </w:rPr>
        <w:t xml:space="preserve">This adjustment removes ADITs associated with the NCCR and DSM tariffs and normalizes </w:t>
      </w:r>
      <w:r w:rsidR="001A3116">
        <w:rPr>
          <w:rFonts w:ascii="Times New Roman" w:hAnsi="Times New Roman" w:cs="Times New Roman"/>
          <w:sz w:val="24"/>
        </w:rPr>
        <w:t xml:space="preserve">the ADITs for the normalization items referenced in FOOTNOTES BQ/ through BZ/ for the test period.  </w:t>
      </w:r>
      <w:r>
        <w:rPr>
          <w:rFonts w:ascii="Times New Roman" w:hAnsi="Times New Roman" w:cs="Times New Roman"/>
          <w:sz w:val="24"/>
        </w:rPr>
        <w:t xml:space="preserve">  </w:t>
      </w:r>
    </w:p>
    <w:p w:rsidR="00666EA2" w:rsidRDefault="00666EA2">
      <w:pPr>
        <w:rPr>
          <w:rFonts w:ascii="Times New Roman" w:hAnsi="Times New Roman" w:cs="Times New Roman"/>
          <w:sz w:val="24"/>
          <w:u w:val="single"/>
        </w:rPr>
      </w:pPr>
    </w:p>
    <w:p w:rsidR="00DD0AFE" w:rsidRDefault="00DD0AFE" w:rsidP="00DD0AF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A715A6">
        <w:rPr>
          <w:rFonts w:ascii="Times New Roman" w:hAnsi="Times New Roman" w:cs="Times New Roman"/>
          <w:sz w:val="24"/>
          <w:u w:val="single"/>
        </w:rPr>
        <w:t>CC</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A715A6">
        <w:rPr>
          <w:rFonts w:ascii="Times New Roman" w:hAnsi="Times New Roman" w:cs="Times New Roman"/>
          <w:sz w:val="24"/>
          <w:u w:val="single"/>
        </w:rPr>
        <w:t>15,715</w:t>
      </w:r>
      <w:r w:rsidRPr="00362DBE">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t>Adjustment to Accumulated Deferred</w:t>
      </w:r>
    </w:p>
    <w:p w:rsidR="00DD0AFE" w:rsidRDefault="00DD0AFE" w:rsidP="00DD0AFE">
      <w:pPr>
        <w:spacing w:after="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Income Taxes (190) </w:t>
      </w:r>
    </w:p>
    <w:p w:rsidR="00DD0AFE" w:rsidRDefault="00DD0AFE" w:rsidP="00DD0AFE">
      <w:pPr>
        <w:spacing w:after="0"/>
        <w:rPr>
          <w:rFonts w:ascii="Times New Roman" w:hAnsi="Times New Roman" w:cs="Times New Roman"/>
          <w:sz w:val="24"/>
        </w:rPr>
      </w:pPr>
    </w:p>
    <w:p w:rsidR="002D2584" w:rsidRDefault="006A64EF" w:rsidP="002D2584">
      <w:pPr>
        <w:spacing w:after="0"/>
        <w:jc w:val="both"/>
        <w:rPr>
          <w:rFonts w:ascii="Times New Roman" w:hAnsi="Times New Roman" w:cs="Times New Roman"/>
          <w:sz w:val="24"/>
        </w:rPr>
      </w:pPr>
      <w:r>
        <w:rPr>
          <w:rFonts w:ascii="Times New Roman" w:hAnsi="Times New Roman" w:cs="Times New Roman"/>
          <w:sz w:val="24"/>
        </w:rPr>
        <w:t xml:space="preserve">This adjustment removes ADITs associated with unregulated outdoor lighting, DSM tariff, NCCR tariff, CWIP, and normalizes </w:t>
      </w:r>
      <w:r w:rsidR="001A3116">
        <w:rPr>
          <w:rFonts w:ascii="Times New Roman" w:hAnsi="Times New Roman" w:cs="Times New Roman"/>
          <w:sz w:val="24"/>
        </w:rPr>
        <w:t xml:space="preserve">the ADITs for the normalization items referenced in FOOTNOTES BQ/ through BZ/ for the test period. </w:t>
      </w:r>
      <w:r>
        <w:rPr>
          <w:rFonts w:ascii="Times New Roman" w:hAnsi="Times New Roman" w:cs="Times New Roman"/>
          <w:sz w:val="24"/>
        </w:rPr>
        <w:t xml:space="preserve">  </w:t>
      </w:r>
    </w:p>
    <w:p w:rsidR="00DD0AFE" w:rsidRDefault="00DD0AFE" w:rsidP="00DD0AFE">
      <w:pPr>
        <w:spacing w:after="0"/>
        <w:jc w:val="both"/>
        <w:rPr>
          <w:rFonts w:ascii="Times New Roman" w:hAnsi="Times New Roman" w:cs="Times New Roman"/>
          <w:sz w:val="24"/>
        </w:rPr>
      </w:pPr>
    </w:p>
    <w:p w:rsidR="002D2584" w:rsidRDefault="00AC0841" w:rsidP="000D49EB">
      <w:pPr>
        <w:spacing w:after="0"/>
        <w:jc w:val="center"/>
        <w:rPr>
          <w:rFonts w:ascii="Times New Roman" w:hAnsi="Times New Roman" w:cs="Times New Roman"/>
          <w:sz w:val="24"/>
        </w:rPr>
      </w:pPr>
      <w:r w:rsidRPr="00AC0841">
        <w:rPr>
          <w:noProof/>
        </w:rPr>
        <w:drawing>
          <wp:inline distT="0" distB="0" distL="0" distR="0">
            <wp:extent cx="3295650" cy="17811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95650" cy="1781175"/>
                    </a:xfrm>
                    <a:prstGeom prst="rect">
                      <a:avLst/>
                    </a:prstGeom>
                    <a:noFill/>
                    <a:ln>
                      <a:noFill/>
                    </a:ln>
                  </pic:spPr>
                </pic:pic>
              </a:graphicData>
            </a:graphic>
          </wp:inline>
        </w:drawing>
      </w:r>
    </w:p>
    <w:p w:rsidR="002D2584" w:rsidRDefault="002D2584" w:rsidP="00DD0AFE">
      <w:pPr>
        <w:spacing w:after="0"/>
        <w:jc w:val="both"/>
        <w:rPr>
          <w:rFonts w:ascii="Times New Roman" w:hAnsi="Times New Roman" w:cs="Times New Roman"/>
          <w:sz w:val="24"/>
        </w:rPr>
      </w:pPr>
    </w:p>
    <w:p w:rsidR="00DD0AFE" w:rsidRDefault="00DD0AFE" w:rsidP="00DD0AF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A715A6">
        <w:rPr>
          <w:rFonts w:ascii="Times New Roman" w:hAnsi="Times New Roman" w:cs="Times New Roman"/>
          <w:sz w:val="24"/>
          <w:u w:val="single"/>
        </w:rPr>
        <w:t>CD</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Pr>
          <w:rFonts w:ascii="Times New Roman" w:hAnsi="Times New Roman" w:cs="Times New Roman"/>
          <w:sz w:val="24"/>
          <w:u w:val="single"/>
        </w:rPr>
        <w:t>$</w:t>
      </w:r>
      <w:r w:rsidR="00A715A6">
        <w:rPr>
          <w:rFonts w:ascii="Times New Roman" w:hAnsi="Times New Roman" w:cs="Times New Roman"/>
          <w:sz w:val="24"/>
          <w:u w:val="single"/>
        </w:rPr>
        <w:t>69,805</w:t>
      </w:r>
      <w:r>
        <w:rPr>
          <w:rFonts w:ascii="Times New Roman" w:hAnsi="Times New Roman" w:cs="Times New Roman"/>
          <w:sz w:val="24"/>
        </w:rPr>
        <w:tab/>
      </w:r>
      <w:r>
        <w:rPr>
          <w:rFonts w:ascii="Times New Roman" w:hAnsi="Times New Roman" w:cs="Times New Roman"/>
          <w:sz w:val="24"/>
        </w:rPr>
        <w:tab/>
        <w:t>Cash Working Capital</w:t>
      </w:r>
    </w:p>
    <w:p w:rsidR="00DD0AFE" w:rsidRDefault="00DD0AFE" w:rsidP="00DD0AFE">
      <w:pPr>
        <w:spacing w:after="0"/>
        <w:rPr>
          <w:rFonts w:ascii="Times New Roman" w:hAnsi="Times New Roman" w:cs="Times New Roman"/>
          <w:sz w:val="24"/>
        </w:rPr>
      </w:pPr>
    </w:p>
    <w:p w:rsidR="00362DBE" w:rsidRPr="00DA4042" w:rsidRDefault="00DD0AFE" w:rsidP="00DA4042">
      <w:pPr>
        <w:spacing w:after="0"/>
        <w:jc w:val="both"/>
        <w:rPr>
          <w:rFonts w:ascii="Times New Roman" w:hAnsi="Times New Roman" w:cs="Times New Roman"/>
          <w:sz w:val="24"/>
        </w:rPr>
      </w:pPr>
      <w:r>
        <w:rPr>
          <w:rFonts w:ascii="Times New Roman" w:hAnsi="Times New Roman" w:cs="Times New Roman"/>
          <w:sz w:val="24"/>
        </w:rPr>
        <w:t xml:space="preserve">This adjustment reflects </w:t>
      </w:r>
      <w:r w:rsidR="00651939">
        <w:rPr>
          <w:rFonts w:ascii="Times New Roman" w:hAnsi="Times New Roman" w:cs="Times New Roman"/>
          <w:sz w:val="24"/>
        </w:rPr>
        <w:t xml:space="preserve">cash working capital impacts of adjustments in FOOTNOTES </w:t>
      </w:r>
      <w:r w:rsidR="00A715A6">
        <w:rPr>
          <w:rFonts w:ascii="Times New Roman" w:hAnsi="Times New Roman" w:cs="Times New Roman"/>
          <w:sz w:val="24"/>
        </w:rPr>
        <w:t>BE</w:t>
      </w:r>
      <w:r w:rsidR="00651939">
        <w:rPr>
          <w:rFonts w:ascii="Times New Roman" w:hAnsi="Times New Roman" w:cs="Times New Roman"/>
          <w:sz w:val="24"/>
        </w:rPr>
        <w:t xml:space="preserve">/ through </w:t>
      </w:r>
      <w:r w:rsidR="008C5964">
        <w:rPr>
          <w:rFonts w:ascii="Times New Roman" w:hAnsi="Times New Roman" w:cs="Times New Roman"/>
          <w:sz w:val="24"/>
        </w:rPr>
        <w:t>BP</w:t>
      </w:r>
      <w:r w:rsidR="00651939">
        <w:rPr>
          <w:rFonts w:ascii="Times New Roman" w:hAnsi="Times New Roman" w:cs="Times New Roman"/>
          <w:sz w:val="24"/>
        </w:rPr>
        <w:t xml:space="preserve">/.  </w:t>
      </w:r>
      <w:r w:rsidR="00C75FD3" w:rsidRPr="00C75FD3">
        <w:rPr>
          <w:rFonts w:ascii="Times New Roman" w:hAnsi="Times New Roman" w:cs="Times New Roman"/>
          <w:sz w:val="24"/>
        </w:rPr>
        <w:t xml:space="preserve">The following page provides a detailed calculation of the adjustment.  </w:t>
      </w:r>
      <w:r w:rsidR="00651939">
        <w:rPr>
          <w:rFonts w:ascii="Times New Roman" w:hAnsi="Times New Roman" w:cs="Times New Roman"/>
          <w:sz w:val="24"/>
        </w:rPr>
        <w:t xml:space="preserve">  </w:t>
      </w:r>
    </w:p>
    <w:sectPr w:rsidR="00362DBE" w:rsidRPr="00DA4042" w:rsidSect="009F6696">
      <w:headerReference w:type="default" r:id="rId17"/>
      <w:pgSz w:w="12240" w:h="15840"/>
      <w:pgMar w:top="1440" w:right="1440" w:bottom="1440" w:left="1440" w:header="720" w:footer="720" w:gutter="0"/>
      <w:pgNumType w:start="2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4042" w:rsidRDefault="00DA4042" w:rsidP="00DA4042">
      <w:pPr>
        <w:spacing w:after="0" w:line="240" w:lineRule="auto"/>
      </w:pPr>
      <w:r>
        <w:separator/>
      </w:r>
    </w:p>
  </w:endnote>
  <w:endnote w:type="continuationSeparator" w:id="0">
    <w:p w:rsidR="00DA4042" w:rsidRDefault="00DA4042" w:rsidP="00DA4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4042" w:rsidRDefault="00DA4042" w:rsidP="00DA4042">
      <w:pPr>
        <w:spacing w:after="0" w:line="240" w:lineRule="auto"/>
      </w:pPr>
      <w:r>
        <w:separator/>
      </w:r>
    </w:p>
  </w:footnote>
  <w:footnote w:type="continuationSeparator" w:id="0">
    <w:p w:rsidR="00DA4042" w:rsidRDefault="00DA4042" w:rsidP="00DA40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6696" w:rsidRPr="00DA4042" w:rsidRDefault="009F6696" w:rsidP="009F6696">
    <w:pPr>
      <w:pStyle w:val="Header"/>
      <w:jc w:val="right"/>
      <w:rPr>
        <w:rFonts w:ascii="Times New Roman" w:hAnsi="Times New Roman" w:cs="Times New Roman"/>
        <w:sz w:val="24"/>
      </w:rPr>
    </w:pPr>
    <w:r w:rsidRPr="00DA4042">
      <w:rPr>
        <w:rFonts w:ascii="Times New Roman" w:hAnsi="Times New Roman" w:cs="Times New Roman"/>
        <w:sz w:val="24"/>
      </w:rPr>
      <w:t>Exhibit___(DPP</w:t>
    </w:r>
    <w:r w:rsidR="00ED6402">
      <w:rPr>
        <w:rFonts w:ascii="Times New Roman" w:hAnsi="Times New Roman" w:cs="Times New Roman"/>
        <w:sz w:val="24"/>
      </w:rPr>
      <w:t>/</w:t>
    </w:r>
    <w:r>
      <w:rPr>
        <w:rFonts w:ascii="Times New Roman" w:hAnsi="Times New Roman" w:cs="Times New Roman"/>
        <w:sz w:val="24"/>
      </w:rPr>
      <w:t>SPA</w:t>
    </w:r>
    <w:r w:rsidR="00ED6402">
      <w:rPr>
        <w:rFonts w:ascii="Times New Roman" w:hAnsi="Times New Roman" w:cs="Times New Roman"/>
        <w:sz w:val="24"/>
      </w:rPr>
      <w:t>/</w:t>
    </w:r>
    <w:r>
      <w:rPr>
        <w:rFonts w:ascii="Times New Roman" w:hAnsi="Times New Roman" w:cs="Times New Roman"/>
        <w:sz w:val="24"/>
      </w:rPr>
      <w:t>MBR</w:t>
    </w:r>
    <w:r w:rsidRPr="00DA4042">
      <w:rPr>
        <w:rFonts w:ascii="Times New Roman" w:hAnsi="Times New Roman" w:cs="Times New Roman"/>
        <w:sz w:val="24"/>
      </w:rPr>
      <w:t>-2)</w:t>
    </w:r>
  </w:p>
  <w:sdt>
    <w:sdtPr>
      <w:rPr>
        <w:rFonts w:ascii="Times New Roman" w:hAnsi="Times New Roman" w:cs="Times New Roman"/>
        <w:sz w:val="24"/>
      </w:rPr>
      <w:id w:val="-1318336367"/>
      <w:docPartObj>
        <w:docPartGallery w:val="Page Numbers (Top of Page)"/>
        <w:docPartUnique/>
      </w:docPartObj>
    </w:sdtPr>
    <w:sdtEndPr/>
    <w:sdtContent>
      <w:p w:rsidR="009F6696" w:rsidRPr="009F6696" w:rsidRDefault="009F6696">
        <w:pPr>
          <w:pStyle w:val="Header"/>
          <w:jc w:val="right"/>
          <w:rPr>
            <w:rFonts w:ascii="Times New Roman" w:hAnsi="Times New Roman" w:cs="Times New Roman"/>
            <w:sz w:val="24"/>
          </w:rPr>
        </w:pPr>
        <w:r w:rsidRPr="009F6696">
          <w:rPr>
            <w:rFonts w:ascii="Times New Roman" w:hAnsi="Times New Roman" w:cs="Times New Roman"/>
            <w:sz w:val="24"/>
          </w:rPr>
          <w:t xml:space="preserve">Page </w:t>
        </w:r>
        <w:r w:rsidRPr="009F6696">
          <w:rPr>
            <w:rFonts w:ascii="Times New Roman" w:hAnsi="Times New Roman" w:cs="Times New Roman"/>
            <w:sz w:val="24"/>
          </w:rPr>
          <w:fldChar w:fldCharType="begin"/>
        </w:r>
        <w:r w:rsidRPr="009F6696">
          <w:rPr>
            <w:rFonts w:ascii="Times New Roman" w:hAnsi="Times New Roman" w:cs="Times New Roman"/>
            <w:sz w:val="24"/>
          </w:rPr>
          <w:instrText xml:space="preserve"> PAGE </w:instrText>
        </w:r>
        <w:r w:rsidRPr="009F6696">
          <w:rPr>
            <w:rFonts w:ascii="Times New Roman" w:hAnsi="Times New Roman" w:cs="Times New Roman"/>
            <w:sz w:val="24"/>
          </w:rPr>
          <w:fldChar w:fldCharType="separate"/>
        </w:r>
        <w:r w:rsidRPr="009F6696">
          <w:rPr>
            <w:rFonts w:ascii="Times New Roman" w:hAnsi="Times New Roman" w:cs="Times New Roman"/>
            <w:sz w:val="24"/>
          </w:rPr>
          <w:t>2</w:t>
        </w:r>
        <w:r w:rsidRPr="009F6696">
          <w:rPr>
            <w:rFonts w:ascii="Times New Roman" w:hAnsi="Times New Roman" w:cs="Times New Roman"/>
            <w:sz w:val="24"/>
          </w:rPr>
          <w:fldChar w:fldCharType="end"/>
        </w:r>
        <w:r w:rsidRPr="009F6696">
          <w:rPr>
            <w:rFonts w:ascii="Times New Roman" w:hAnsi="Times New Roman" w:cs="Times New Roman"/>
            <w:sz w:val="24"/>
          </w:rPr>
          <w:t xml:space="preserve"> of </w:t>
        </w:r>
        <w:r>
          <w:rPr>
            <w:rFonts w:ascii="Times New Roman" w:hAnsi="Times New Roman" w:cs="Times New Roman"/>
            <w:sz w:val="24"/>
          </w:rPr>
          <w:t>36</w:t>
        </w:r>
      </w:p>
    </w:sdtContent>
  </w:sdt>
  <w:p w:rsidR="00DA4042" w:rsidRPr="00DA4042" w:rsidRDefault="00DA4042" w:rsidP="00DA4042">
    <w:pPr>
      <w:pStyle w:val="Header"/>
      <w:jc w:val="right"/>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042"/>
    <w:rsid w:val="000405ED"/>
    <w:rsid w:val="00071AC8"/>
    <w:rsid w:val="000A4FB2"/>
    <w:rsid w:val="000C10F9"/>
    <w:rsid w:val="000D49EB"/>
    <w:rsid w:val="001A3116"/>
    <w:rsid w:val="001C12F6"/>
    <w:rsid w:val="001E39FB"/>
    <w:rsid w:val="002220DE"/>
    <w:rsid w:val="002550F0"/>
    <w:rsid w:val="002A3A54"/>
    <w:rsid w:val="002B2EC9"/>
    <w:rsid w:val="002D2584"/>
    <w:rsid w:val="00353D91"/>
    <w:rsid w:val="00362DBE"/>
    <w:rsid w:val="00364EF5"/>
    <w:rsid w:val="00391328"/>
    <w:rsid w:val="004801CB"/>
    <w:rsid w:val="00493667"/>
    <w:rsid w:val="004A221D"/>
    <w:rsid w:val="00533A63"/>
    <w:rsid w:val="00535FCF"/>
    <w:rsid w:val="00557D38"/>
    <w:rsid w:val="005F0371"/>
    <w:rsid w:val="00605227"/>
    <w:rsid w:val="00651939"/>
    <w:rsid w:val="006572C2"/>
    <w:rsid w:val="00664FEE"/>
    <w:rsid w:val="00666EA2"/>
    <w:rsid w:val="00677D36"/>
    <w:rsid w:val="006A4903"/>
    <w:rsid w:val="006A64EF"/>
    <w:rsid w:val="00717A86"/>
    <w:rsid w:val="00793F6A"/>
    <w:rsid w:val="007B132F"/>
    <w:rsid w:val="007E528F"/>
    <w:rsid w:val="008567FE"/>
    <w:rsid w:val="008C5964"/>
    <w:rsid w:val="008E5D18"/>
    <w:rsid w:val="00942610"/>
    <w:rsid w:val="009555A8"/>
    <w:rsid w:val="009F6696"/>
    <w:rsid w:val="00A66682"/>
    <w:rsid w:val="00A715A6"/>
    <w:rsid w:val="00A75161"/>
    <w:rsid w:val="00AB63B7"/>
    <w:rsid w:val="00AC0841"/>
    <w:rsid w:val="00AE7B78"/>
    <w:rsid w:val="00B22868"/>
    <w:rsid w:val="00B34A39"/>
    <w:rsid w:val="00B436D3"/>
    <w:rsid w:val="00BC56AF"/>
    <w:rsid w:val="00C466F5"/>
    <w:rsid w:val="00C6402F"/>
    <w:rsid w:val="00C75FD3"/>
    <w:rsid w:val="00D07DC5"/>
    <w:rsid w:val="00D27AC1"/>
    <w:rsid w:val="00D61945"/>
    <w:rsid w:val="00D80554"/>
    <w:rsid w:val="00DA4042"/>
    <w:rsid w:val="00DD0AFE"/>
    <w:rsid w:val="00DF28AD"/>
    <w:rsid w:val="00E109E9"/>
    <w:rsid w:val="00E8777A"/>
    <w:rsid w:val="00ED6402"/>
    <w:rsid w:val="00EE0D89"/>
    <w:rsid w:val="00F4525E"/>
    <w:rsid w:val="00F77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0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042"/>
  </w:style>
  <w:style w:type="paragraph" w:styleId="Footer">
    <w:name w:val="footer"/>
    <w:basedOn w:val="Normal"/>
    <w:link w:val="FooterChar"/>
    <w:uiPriority w:val="99"/>
    <w:unhideWhenUsed/>
    <w:rsid w:val="00DA40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042"/>
  </w:style>
  <w:style w:type="paragraph" w:styleId="BalloonText">
    <w:name w:val="Balloon Text"/>
    <w:basedOn w:val="Normal"/>
    <w:link w:val="BalloonTextChar"/>
    <w:uiPriority w:val="99"/>
    <w:semiHidden/>
    <w:unhideWhenUsed/>
    <w:rsid w:val="00BC56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56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0460">
      <w:bodyDiv w:val="1"/>
      <w:marLeft w:val="0"/>
      <w:marRight w:val="0"/>
      <w:marTop w:val="0"/>
      <w:marBottom w:val="0"/>
      <w:divBdr>
        <w:top w:val="none" w:sz="0" w:space="0" w:color="auto"/>
        <w:left w:val="none" w:sz="0" w:space="0" w:color="auto"/>
        <w:bottom w:val="none" w:sz="0" w:space="0" w:color="auto"/>
        <w:right w:val="none" w:sz="0" w:space="0" w:color="auto"/>
      </w:divBdr>
    </w:div>
    <w:div w:id="51973511">
      <w:bodyDiv w:val="1"/>
      <w:marLeft w:val="0"/>
      <w:marRight w:val="0"/>
      <w:marTop w:val="0"/>
      <w:marBottom w:val="0"/>
      <w:divBdr>
        <w:top w:val="none" w:sz="0" w:space="0" w:color="auto"/>
        <w:left w:val="none" w:sz="0" w:space="0" w:color="auto"/>
        <w:bottom w:val="none" w:sz="0" w:space="0" w:color="auto"/>
        <w:right w:val="none" w:sz="0" w:space="0" w:color="auto"/>
      </w:divBdr>
    </w:div>
    <w:div w:id="173887580">
      <w:bodyDiv w:val="1"/>
      <w:marLeft w:val="0"/>
      <w:marRight w:val="0"/>
      <w:marTop w:val="0"/>
      <w:marBottom w:val="0"/>
      <w:divBdr>
        <w:top w:val="none" w:sz="0" w:space="0" w:color="auto"/>
        <w:left w:val="none" w:sz="0" w:space="0" w:color="auto"/>
        <w:bottom w:val="none" w:sz="0" w:space="0" w:color="auto"/>
        <w:right w:val="none" w:sz="0" w:space="0" w:color="auto"/>
      </w:divBdr>
    </w:div>
    <w:div w:id="583950218">
      <w:bodyDiv w:val="1"/>
      <w:marLeft w:val="0"/>
      <w:marRight w:val="0"/>
      <w:marTop w:val="0"/>
      <w:marBottom w:val="0"/>
      <w:divBdr>
        <w:top w:val="none" w:sz="0" w:space="0" w:color="auto"/>
        <w:left w:val="none" w:sz="0" w:space="0" w:color="auto"/>
        <w:bottom w:val="none" w:sz="0" w:space="0" w:color="auto"/>
        <w:right w:val="none" w:sz="0" w:space="0" w:color="auto"/>
      </w:divBdr>
    </w:div>
    <w:div w:id="852112839">
      <w:bodyDiv w:val="1"/>
      <w:marLeft w:val="0"/>
      <w:marRight w:val="0"/>
      <w:marTop w:val="0"/>
      <w:marBottom w:val="0"/>
      <w:divBdr>
        <w:top w:val="none" w:sz="0" w:space="0" w:color="auto"/>
        <w:left w:val="none" w:sz="0" w:space="0" w:color="auto"/>
        <w:bottom w:val="none" w:sz="0" w:space="0" w:color="auto"/>
        <w:right w:val="none" w:sz="0" w:space="0" w:color="auto"/>
      </w:divBdr>
    </w:div>
    <w:div w:id="938022080">
      <w:bodyDiv w:val="1"/>
      <w:marLeft w:val="0"/>
      <w:marRight w:val="0"/>
      <w:marTop w:val="0"/>
      <w:marBottom w:val="0"/>
      <w:divBdr>
        <w:top w:val="none" w:sz="0" w:space="0" w:color="auto"/>
        <w:left w:val="none" w:sz="0" w:space="0" w:color="auto"/>
        <w:bottom w:val="none" w:sz="0" w:space="0" w:color="auto"/>
        <w:right w:val="none" w:sz="0" w:space="0" w:color="auto"/>
      </w:divBdr>
    </w:div>
    <w:div w:id="1028681142">
      <w:bodyDiv w:val="1"/>
      <w:marLeft w:val="0"/>
      <w:marRight w:val="0"/>
      <w:marTop w:val="0"/>
      <w:marBottom w:val="0"/>
      <w:divBdr>
        <w:top w:val="none" w:sz="0" w:space="0" w:color="auto"/>
        <w:left w:val="none" w:sz="0" w:space="0" w:color="auto"/>
        <w:bottom w:val="none" w:sz="0" w:space="0" w:color="auto"/>
        <w:right w:val="none" w:sz="0" w:space="0" w:color="auto"/>
      </w:divBdr>
    </w:div>
    <w:div w:id="1036347221">
      <w:bodyDiv w:val="1"/>
      <w:marLeft w:val="0"/>
      <w:marRight w:val="0"/>
      <w:marTop w:val="0"/>
      <w:marBottom w:val="0"/>
      <w:divBdr>
        <w:top w:val="none" w:sz="0" w:space="0" w:color="auto"/>
        <w:left w:val="none" w:sz="0" w:space="0" w:color="auto"/>
        <w:bottom w:val="none" w:sz="0" w:space="0" w:color="auto"/>
        <w:right w:val="none" w:sz="0" w:space="0" w:color="auto"/>
      </w:divBdr>
    </w:div>
    <w:div w:id="1072047676">
      <w:bodyDiv w:val="1"/>
      <w:marLeft w:val="0"/>
      <w:marRight w:val="0"/>
      <w:marTop w:val="0"/>
      <w:marBottom w:val="0"/>
      <w:divBdr>
        <w:top w:val="none" w:sz="0" w:space="0" w:color="auto"/>
        <w:left w:val="none" w:sz="0" w:space="0" w:color="auto"/>
        <w:bottom w:val="none" w:sz="0" w:space="0" w:color="auto"/>
        <w:right w:val="none" w:sz="0" w:space="0" w:color="auto"/>
      </w:divBdr>
    </w:div>
    <w:div w:id="1181314630">
      <w:bodyDiv w:val="1"/>
      <w:marLeft w:val="0"/>
      <w:marRight w:val="0"/>
      <w:marTop w:val="0"/>
      <w:marBottom w:val="0"/>
      <w:divBdr>
        <w:top w:val="none" w:sz="0" w:space="0" w:color="auto"/>
        <w:left w:val="none" w:sz="0" w:space="0" w:color="auto"/>
        <w:bottom w:val="none" w:sz="0" w:space="0" w:color="auto"/>
        <w:right w:val="none" w:sz="0" w:space="0" w:color="auto"/>
      </w:divBdr>
    </w:div>
    <w:div w:id="1283732079">
      <w:bodyDiv w:val="1"/>
      <w:marLeft w:val="0"/>
      <w:marRight w:val="0"/>
      <w:marTop w:val="0"/>
      <w:marBottom w:val="0"/>
      <w:divBdr>
        <w:top w:val="none" w:sz="0" w:space="0" w:color="auto"/>
        <w:left w:val="none" w:sz="0" w:space="0" w:color="auto"/>
        <w:bottom w:val="none" w:sz="0" w:space="0" w:color="auto"/>
        <w:right w:val="none" w:sz="0" w:space="0" w:color="auto"/>
      </w:divBdr>
    </w:div>
    <w:div w:id="1506633576">
      <w:bodyDiv w:val="1"/>
      <w:marLeft w:val="0"/>
      <w:marRight w:val="0"/>
      <w:marTop w:val="0"/>
      <w:marBottom w:val="0"/>
      <w:divBdr>
        <w:top w:val="none" w:sz="0" w:space="0" w:color="auto"/>
        <w:left w:val="none" w:sz="0" w:space="0" w:color="auto"/>
        <w:bottom w:val="none" w:sz="0" w:space="0" w:color="auto"/>
        <w:right w:val="none" w:sz="0" w:space="0" w:color="auto"/>
      </w:divBdr>
    </w:div>
    <w:div w:id="1546021378">
      <w:bodyDiv w:val="1"/>
      <w:marLeft w:val="0"/>
      <w:marRight w:val="0"/>
      <w:marTop w:val="0"/>
      <w:marBottom w:val="0"/>
      <w:divBdr>
        <w:top w:val="none" w:sz="0" w:space="0" w:color="auto"/>
        <w:left w:val="none" w:sz="0" w:space="0" w:color="auto"/>
        <w:bottom w:val="none" w:sz="0" w:space="0" w:color="auto"/>
        <w:right w:val="none" w:sz="0" w:space="0" w:color="auto"/>
      </w:divBdr>
    </w:div>
    <w:div w:id="1665013048">
      <w:bodyDiv w:val="1"/>
      <w:marLeft w:val="0"/>
      <w:marRight w:val="0"/>
      <w:marTop w:val="0"/>
      <w:marBottom w:val="0"/>
      <w:divBdr>
        <w:top w:val="none" w:sz="0" w:space="0" w:color="auto"/>
        <w:left w:val="none" w:sz="0" w:space="0" w:color="auto"/>
        <w:bottom w:val="none" w:sz="0" w:space="0" w:color="auto"/>
        <w:right w:val="none" w:sz="0" w:space="0" w:color="auto"/>
      </w:divBdr>
    </w:div>
    <w:div w:id="1793597698">
      <w:bodyDiv w:val="1"/>
      <w:marLeft w:val="0"/>
      <w:marRight w:val="0"/>
      <w:marTop w:val="0"/>
      <w:marBottom w:val="0"/>
      <w:divBdr>
        <w:top w:val="none" w:sz="0" w:space="0" w:color="auto"/>
        <w:left w:val="none" w:sz="0" w:space="0" w:color="auto"/>
        <w:bottom w:val="none" w:sz="0" w:space="0" w:color="auto"/>
        <w:right w:val="none" w:sz="0" w:space="0" w:color="auto"/>
      </w:divBdr>
    </w:div>
    <w:div w:id="1896239384">
      <w:bodyDiv w:val="1"/>
      <w:marLeft w:val="0"/>
      <w:marRight w:val="0"/>
      <w:marTop w:val="0"/>
      <w:marBottom w:val="0"/>
      <w:divBdr>
        <w:top w:val="none" w:sz="0" w:space="0" w:color="auto"/>
        <w:left w:val="none" w:sz="0" w:space="0" w:color="auto"/>
        <w:bottom w:val="none" w:sz="0" w:space="0" w:color="auto"/>
        <w:right w:val="none" w:sz="0" w:space="0" w:color="auto"/>
      </w:divBdr>
    </w:div>
    <w:div w:id="211204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emf"/><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endnotes" Target="endnotes.xml"/><Relationship Id="rId15" Type="http://schemas.openxmlformats.org/officeDocument/2006/relationships/image" Target="media/image10.emf"/><Relationship Id="rId10" Type="http://schemas.openxmlformats.org/officeDocument/2006/relationships/image" Target="media/image5.em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1200</Words>
  <Characters>6845</Characters>
  <Application>Microsoft Office Word</Application>
  <DocSecurity>0</DocSecurity>
  <Lines>57</Lines>
  <Paragraphs>16</Paragraphs>
  <ScaleCrop>false</ScaleCrop>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2019-06-25T17:20:00Z</dcterms:created>
  <dcterms:modified xsi:type="dcterms:W3CDTF">2019-06-25T17:20:00Z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